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GEMEINDE LÖBNITZ</w:t>
      </w:r>
    </w:p>
    <w:p>
      <w:pPr>
        <w:pStyle w:val="Berschrift1"/>
        <w:rPr/>
      </w:pPr>
      <w:r>
        <w:rPr/>
      </w:r>
    </w:p>
    <w:p>
      <w:pPr>
        <w:pStyle w:val="Normal"/>
        <w:rPr>
          <w:b/>
          <w:b/>
          <w:sz w:val="24"/>
          <w:szCs w:val="24"/>
        </w:rPr>
      </w:pPr>
      <w:r>
        <w:rPr>
          <w:b/>
          <w:sz w:val="24"/>
          <w:szCs w:val="24"/>
        </w:rPr>
        <w:t>BEBAUUNGSPLAN UND ÖRTLICHE BAUVORSCHRIFTEN NR. 7</w:t>
      </w:r>
    </w:p>
    <w:p>
      <w:pPr>
        <w:pStyle w:val="Normal"/>
        <w:rPr>
          <w:b/>
          <w:b/>
          <w:sz w:val="24"/>
          <w:szCs w:val="24"/>
        </w:rPr>
      </w:pPr>
      <w:r>
        <w:rPr>
          <w:b/>
          <w:sz w:val="24"/>
          <w:szCs w:val="24"/>
        </w:rPr>
        <w:t>"Wochenend- und Ferienhausgebiet Mühlfeldsee, 1. Änderung und Erweiterung"</w:t>
      </w:r>
    </w:p>
    <w:p>
      <w:pPr>
        <w:pStyle w:val="Normal"/>
        <w:rPr>
          <w:b/>
          <w:b/>
        </w:rPr>
      </w:pPr>
      <w:r>
        <w:rPr>
          <w:b/>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t>TEXTLICHE FESTSETZUNGEN</w:t>
      </w:r>
    </w:p>
    <w:p>
      <w:pPr>
        <w:pStyle w:val="Normal"/>
        <w:rPr/>
      </w:pPr>
      <w:r>
        <w:rPr/>
      </w:r>
    </w:p>
    <w:p>
      <w:pPr>
        <w:pStyle w:val="Normal"/>
        <w:rPr/>
      </w:pPr>
      <w:r>
        <w:rPr/>
        <w:t>Stand:</w:t>
      </w:r>
    </w:p>
    <w:p>
      <w:pPr>
        <w:pStyle w:val="Normal"/>
        <w:rPr/>
      </w:pPr>
      <w:r>
        <w:rPr/>
        <w:t xml:space="preserve">Fassung zur frühzeitigen Beteiligung </w:t>
      </w:r>
      <w:bookmarkStart w:id="0" w:name="_GoBack"/>
      <w:bookmarkEnd w:id="0"/>
      <w:r>
        <w:rPr/>
        <w:t>vom 01.12.2021</w:t>
      </w:r>
    </w:p>
    <w:p>
      <w:pPr>
        <w:pStyle w:val="Normal"/>
        <w:widowControl/>
        <w:tabs>
          <w:tab w:val="left" w:pos="567" w:leader="none"/>
          <w:tab w:val="left" w:pos="709" w:leader="none"/>
          <w:tab w:val="left" w:pos="992" w:leader="none"/>
        </w:tabs>
        <w:ind w:left="426" w:hanging="426"/>
        <w:jc w:val="both"/>
        <w:rPr>
          <w:b/>
          <w:b/>
        </w:rPr>
      </w:pPr>
      <w:r>
        <w:rPr>
          <w:b/>
        </w:rPr>
      </w:r>
    </w:p>
    <w:p>
      <w:pPr>
        <w:pStyle w:val="Normal"/>
        <w:widowControl/>
        <w:tabs>
          <w:tab w:val="left" w:pos="567" w:leader="none"/>
          <w:tab w:val="left" w:pos="709" w:leader="none"/>
          <w:tab w:val="left" w:pos="992" w:leader="none"/>
        </w:tabs>
        <w:ind w:left="426" w:hanging="426"/>
        <w:jc w:val="both"/>
        <w:rPr>
          <w:b/>
          <w:b/>
        </w:rPr>
      </w:pPr>
      <w:r>
        <w:rPr>
          <w:b/>
        </w:rPr>
      </w:r>
    </w:p>
    <w:p>
      <w:pPr>
        <w:pStyle w:val="Normal"/>
        <w:rPr>
          <w:bCs/>
        </w:rPr>
      </w:pPr>
      <w:r>
        <w:rPr>
          <w:bCs/>
        </w:rPr>
        <w:t xml:space="preserve">Mit dem Inkrafttreten dieses Bebauungsplanes treten alle bisherigen planungsrechtlichen Festsetzungen und örtlichen Bauvorschriften in diesem Geltungsbereich außer Kraft. </w:t>
      </w:r>
    </w:p>
    <w:p>
      <w:pPr>
        <w:pStyle w:val="Berschrift1"/>
        <w:rPr>
          <w:sz w:val="24"/>
          <w:szCs w:val="24"/>
        </w:rPr>
      </w:pPr>
      <w:r>
        <w:rPr>
          <w:sz w:val="24"/>
          <w:szCs w:val="24"/>
        </w:rPr>
        <w:t>GESETZLICHE GRUNDLAGEN</w:t>
      </w:r>
    </w:p>
    <w:p>
      <w:pPr>
        <w:pStyle w:val="Normal"/>
        <w:tabs>
          <w:tab w:val="clear" w:pos="709"/>
          <w:tab w:val="left" w:pos="567" w:leader="none"/>
        </w:tabs>
        <w:jc w:val="both"/>
        <w:rPr>
          <w:b/>
          <w:b/>
        </w:rPr>
      </w:pPr>
      <w:r>
        <w:rPr>
          <w:b/>
        </w:rPr>
      </w:r>
    </w:p>
    <w:p>
      <w:pPr>
        <w:pStyle w:val="Normal"/>
        <w:rPr>
          <w:rFonts w:cs="Arial"/>
        </w:rPr>
      </w:pPr>
      <w:r>
        <w:rPr>
          <w:b/>
        </w:rPr>
        <w:t>Baugesetzbuch (BauGB)</w:t>
      </w:r>
      <w:r>
        <w:rPr>
          <w:bCs/>
        </w:rPr>
        <w:t xml:space="preserve"> in der Fassung der Bekanntmachung vom 03.11.2017 (BGBl. I S. 3634), </w:t>
      </w:r>
      <w:r>
        <w:rPr>
          <w:rFonts w:cs="Arial"/>
        </w:rPr>
        <w:t>zuletzt geändert durch Artikel 2 des Gesetzes vom 8.08.2020 (BGBl. I S. 1728),</w:t>
      </w:r>
    </w:p>
    <w:p>
      <w:pPr>
        <w:pStyle w:val="Normal"/>
        <w:rPr>
          <w:bCs/>
        </w:rPr>
      </w:pPr>
      <w:r>
        <w:rPr>
          <w:bCs/>
        </w:rPr>
      </w:r>
    </w:p>
    <w:p>
      <w:pPr>
        <w:pStyle w:val="Normal"/>
        <w:rPr>
          <w:b/>
          <w:b/>
        </w:rPr>
      </w:pPr>
      <w:r>
        <w:rPr>
          <w:b/>
        </w:rPr>
        <w:t>Baunutzungsverordnung (BauNVO)</w:t>
      </w:r>
    </w:p>
    <w:p>
      <w:pPr>
        <w:pStyle w:val="Normal"/>
        <w:rPr>
          <w:bCs/>
        </w:rPr>
      </w:pPr>
      <w:r>
        <w:rPr>
          <w:bCs/>
        </w:rPr>
        <w:t>in der Fassung der Bekanntmachung vom 21.11.2017 (BGBl. I S. 3786),</w:t>
      </w:r>
    </w:p>
    <w:p>
      <w:pPr>
        <w:pStyle w:val="Normal"/>
        <w:tabs>
          <w:tab w:val="clear" w:pos="709"/>
          <w:tab w:val="left" w:pos="567" w:leader="none"/>
        </w:tabs>
        <w:jc w:val="both"/>
        <w:rPr>
          <w:b/>
          <w:b/>
        </w:rPr>
      </w:pPr>
      <w:r>
        <w:rPr>
          <w:b/>
        </w:rPr>
      </w:r>
    </w:p>
    <w:p>
      <w:pPr>
        <w:pStyle w:val="Normal"/>
        <w:rPr/>
      </w:pPr>
      <w:r>
        <w:rPr>
          <w:b/>
        </w:rPr>
        <w:t>Planzeichenverordnung 1990 (PlanZV</w:t>
      </w:r>
      <w:r>
        <w:rPr>
          <w:bCs/>
        </w:rPr>
        <w:t xml:space="preserve">) vom 18.12.1990 (BGBl. 1991 l, </w:t>
      </w:r>
      <w:r>
        <w:rPr/>
        <w:t>Seite 58), zuletzt geändert durch Art. 3 des Gesetzes vom 04. Mai 2017 (BGBl. I S. 1057),</w:t>
      </w:r>
    </w:p>
    <w:p>
      <w:pPr>
        <w:pStyle w:val="Normal"/>
        <w:tabs>
          <w:tab w:val="left" w:pos="567" w:leader="none"/>
          <w:tab w:val="left" w:pos="709" w:leader="none"/>
          <w:tab w:val="left" w:pos="992" w:leader="none"/>
        </w:tabs>
        <w:ind w:left="426" w:hanging="426"/>
        <w:jc w:val="both"/>
        <w:rPr>
          <w:bCs/>
        </w:rPr>
      </w:pPr>
      <w:r>
        <w:rPr>
          <w:bCs/>
        </w:rPr>
      </w:r>
    </w:p>
    <w:p>
      <w:pPr>
        <w:pStyle w:val="Normal"/>
        <w:ind w:left="709" w:hanging="709"/>
        <w:jc w:val="both"/>
        <w:rPr>
          <w:b/>
          <w:b/>
        </w:rPr>
      </w:pPr>
      <w:r>
        <w:rPr>
          <w:b/>
        </w:rPr>
        <w:t xml:space="preserve">Sächsische Bauordnung </w:t>
      </w:r>
    </w:p>
    <w:p>
      <w:pPr>
        <w:pStyle w:val="Normal"/>
        <w:rPr>
          <w:bCs/>
        </w:rPr>
      </w:pPr>
      <w:r>
        <w:rPr>
          <w:bCs/>
        </w:rPr>
        <w:t>in der Fassung der Bekanntmachung vom 11.05.2016  (SächsGVBl. S. 186), zuletzt geändert durch Artikel 6 der Verordnung vom 12.04.2021 (SächsGVBl. S.517)</w:t>
      </w:r>
    </w:p>
    <w:p>
      <w:pPr>
        <w:pStyle w:val="Normal"/>
        <w:tabs>
          <w:tab w:val="clear" w:pos="709"/>
          <w:tab w:val="left" w:pos="567" w:leader="none"/>
        </w:tabs>
        <w:jc w:val="both"/>
        <w:rPr>
          <w:sz w:val="12"/>
          <w:szCs w:val="12"/>
        </w:rPr>
      </w:pPr>
      <w:r>
        <w:rPr/>
        <w:tab/>
        <w:tab/>
        <w:tab/>
        <w:tab/>
        <w:tab/>
        <w:tab/>
        <w:tab/>
        <w:tab/>
        <w:tab/>
        <w:tab/>
        <w:tab/>
        <w:tab/>
      </w:r>
    </w:p>
    <w:p>
      <w:pPr>
        <w:pStyle w:val="Berschrift1"/>
        <w:rPr>
          <w:sz w:val="24"/>
          <w:szCs w:val="24"/>
        </w:rPr>
      </w:pPr>
      <w:r>
        <w:rPr>
          <w:sz w:val="24"/>
          <w:szCs w:val="24"/>
        </w:rPr>
        <w:t>I</w:t>
        <w:tab/>
        <w:t>ZEICHNERISCHE FESTSETZUNGEN</w:t>
      </w:r>
    </w:p>
    <w:p>
      <w:pPr>
        <w:pStyle w:val="Normal"/>
        <w:tabs>
          <w:tab w:val="clear" w:pos="709"/>
          <w:tab w:val="left" w:pos="426" w:leader="none"/>
          <w:tab w:val="left" w:pos="992" w:leader="none"/>
        </w:tabs>
        <w:jc w:val="both"/>
        <w:rPr/>
      </w:pPr>
      <w:r>
        <w:rPr/>
        <w:tab/>
        <w:t>(vgl. Planzeichnung)</w:t>
      </w:r>
    </w:p>
    <w:p>
      <w:pPr>
        <w:pStyle w:val="Berschrift1"/>
        <w:rPr>
          <w:sz w:val="24"/>
          <w:szCs w:val="24"/>
          <w:u w:val="single"/>
        </w:rPr>
      </w:pPr>
      <w:r>
        <w:rPr>
          <w:sz w:val="24"/>
          <w:szCs w:val="24"/>
        </w:rPr>
        <w:t>II</w:t>
        <w:tab/>
        <w:t>TEXTLICHE FESTSETZUNGEN</w:t>
      </w:r>
    </w:p>
    <w:p>
      <w:pPr>
        <w:pStyle w:val="Berschrift1"/>
        <w:rPr>
          <w:sz w:val="24"/>
          <w:szCs w:val="24"/>
        </w:rPr>
      </w:pPr>
      <w:r>
        <w:rPr>
          <w:sz w:val="24"/>
          <w:szCs w:val="24"/>
        </w:rPr>
        <w:t>II a</w:t>
        <w:tab/>
        <w:t>Planungsrechtliche Festsetzungen</w:t>
      </w:r>
    </w:p>
    <w:p>
      <w:pPr>
        <w:pStyle w:val="Normal"/>
        <w:rPr/>
      </w:pPr>
      <w:r>
        <w:rPr>
          <w:b/>
          <w:szCs w:val="24"/>
        </w:rPr>
        <w:t xml:space="preserve">        </w:t>
      </w:r>
      <w:r>
        <w:rPr>
          <w:szCs w:val="24"/>
        </w:rPr>
        <w:t>(</w:t>
      </w:r>
      <w:r>
        <w:rPr/>
        <w:t>§ 9 Abs.1 BauGB i.V.m. BauNVO)</w:t>
      </w:r>
    </w:p>
    <w:p>
      <w:pPr>
        <w:pStyle w:val="Berschrift2"/>
        <w:rPr>
          <w:u w:val="single"/>
        </w:rPr>
      </w:pPr>
      <w:r>
        <w:rPr/>
        <w:t>1.</w:t>
        <w:tab/>
        <w:t>Art der baulichen Nutzung  (§ 9 Abs.1 Nr. 1 BauGB)</w:t>
      </w:r>
    </w:p>
    <w:p>
      <w:pPr>
        <w:pStyle w:val="Normal"/>
        <w:widowControl/>
        <w:tabs>
          <w:tab w:val="clear" w:pos="709"/>
          <w:tab w:val="left" w:pos="567" w:leader="none"/>
        </w:tabs>
        <w:ind w:left="426" w:hanging="426"/>
        <w:jc w:val="both"/>
        <w:rPr/>
      </w:pPr>
      <w:r>
        <w:rPr>
          <w:b/>
        </w:rPr>
        <w:t>1.1</w:t>
        <w:tab/>
        <w:t xml:space="preserve">Sondergebiet 1, das der Erholung dient (SO 1)  </w:t>
      </w:r>
      <w:r>
        <w:rPr/>
        <w:t>(§ 10 Abs. 3, 4 BauNVO)</w:t>
      </w:r>
    </w:p>
    <w:p>
      <w:pPr>
        <w:pStyle w:val="Normal"/>
        <w:widowControl/>
        <w:tabs>
          <w:tab w:val="clear" w:pos="709"/>
          <w:tab w:val="left" w:pos="567" w:leader="none"/>
        </w:tabs>
        <w:ind w:left="426" w:hanging="426"/>
        <w:jc w:val="both"/>
        <w:rPr>
          <w:b/>
          <w:b/>
        </w:rPr>
      </w:pPr>
      <w:r>
        <w:rPr>
          <w:b/>
        </w:rPr>
      </w:r>
    </w:p>
    <w:p>
      <w:pPr>
        <w:pStyle w:val="Normal"/>
        <w:widowControl/>
        <w:tabs>
          <w:tab w:val="clear" w:pos="709"/>
          <w:tab w:val="left" w:pos="426" w:leader="none"/>
        </w:tabs>
        <w:ind w:left="426" w:hanging="0"/>
        <w:jc w:val="both"/>
        <w:rPr/>
      </w:pPr>
      <w:r>
        <w:rPr/>
        <w:t>Zulässig sind Wochenend- und Ferienhäuser einschließlich Stellplätzen, Gemeinschaftsanlagen wie Kinderspielplätze, Liegewiesen, Besucherstellplätze sowie Gebäude für den Gemeinschaftsbedarf und der erforderlichen Erschließungsflächen.</w:t>
      </w:r>
    </w:p>
    <w:p>
      <w:pPr>
        <w:pStyle w:val="Normal"/>
        <w:widowControl/>
        <w:tabs>
          <w:tab w:val="clear" w:pos="709"/>
          <w:tab w:val="left" w:pos="426" w:leader="none"/>
        </w:tabs>
        <w:ind w:left="425" w:hanging="0"/>
        <w:jc w:val="both"/>
        <w:rPr/>
      </w:pPr>
      <w:r>
        <w:rPr/>
      </w:r>
    </w:p>
    <w:p>
      <w:pPr>
        <w:pStyle w:val="Normal"/>
        <w:widowControl/>
        <w:tabs>
          <w:tab w:val="clear" w:pos="709"/>
          <w:tab w:val="left" w:pos="426" w:leader="none"/>
        </w:tabs>
        <w:ind w:left="425" w:hanging="0"/>
        <w:jc w:val="both"/>
        <w:rPr/>
      </w:pPr>
      <w:r>
        <w:rPr/>
      </w:r>
    </w:p>
    <w:p>
      <w:pPr>
        <w:pStyle w:val="Normal"/>
        <w:widowControl/>
        <w:tabs>
          <w:tab w:val="clear" w:pos="709"/>
          <w:tab w:val="left" w:pos="567" w:leader="none"/>
        </w:tabs>
        <w:ind w:left="426" w:hanging="426"/>
        <w:jc w:val="both"/>
        <w:rPr/>
      </w:pPr>
      <w:r>
        <w:rPr>
          <w:b/>
        </w:rPr>
        <w:t>1.2</w:t>
        <w:tab/>
        <w:t xml:space="preserve">Sondergebiet 2, das der Erholung dient (SO 2)  </w:t>
      </w:r>
      <w:r>
        <w:rPr/>
        <w:t>(§ 10 Abs. 3 BauNVO)</w:t>
      </w:r>
    </w:p>
    <w:p>
      <w:pPr>
        <w:pStyle w:val="Normal"/>
        <w:widowControl/>
        <w:tabs>
          <w:tab w:val="clear" w:pos="709"/>
          <w:tab w:val="left" w:pos="567" w:leader="none"/>
        </w:tabs>
        <w:ind w:left="426" w:hanging="426"/>
        <w:jc w:val="both"/>
        <w:rPr>
          <w:b/>
          <w:b/>
        </w:rPr>
      </w:pPr>
      <w:r>
        <w:rPr>
          <w:b/>
        </w:rPr>
      </w:r>
    </w:p>
    <w:p>
      <w:pPr>
        <w:pStyle w:val="Normal"/>
        <w:widowControl/>
        <w:tabs>
          <w:tab w:val="clear" w:pos="709"/>
          <w:tab w:val="left" w:pos="426" w:leader="none"/>
        </w:tabs>
        <w:ind w:left="425" w:hanging="0"/>
        <w:jc w:val="both"/>
        <w:rPr/>
      </w:pPr>
      <w:r>
        <w:rPr/>
        <w:t>Zulässig sind Wochenendhäuser einschließlich Stellplätzen, Gemeinschaftsanlagen wie Kinderspielplätze, Liegewiesen, Besucherstellplätze sowie Gebäude für den Gemeinschaftsbedarf  sowie der erforderlichen Erschließungsflächen.</w:t>
      </w:r>
    </w:p>
    <w:p>
      <w:pPr>
        <w:pStyle w:val="Berschrift2"/>
        <w:rPr>
          <w:b w:val="false"/>
          <w:b w:val="false"/>
        </w:rPr>
      </w:pPr>
      <w:r>
        <w:rPr/>
        <w:t xml:space="preserve">2. </w:t>
        <w:tab/>
        <w:t xml:space="preserve">Maß der baulichen Nutzung  </w:t>
      </w:r>
      <w:r>
        <w:rPr>
          <w:b w:val="false"/>
        </w:rPr>
        <w:t>(§ 9 Abs.1 Nr. 1 BauGB i.V.m. §§ 16 bis 21 BauNVO)</w:t>
      </w:r>
    </w:p>
    <w:p>
      <w:pPr>
        <w:pStyle w:val="Aufzhlung"/>
        <w:keepNext w:val="false"/>
        <w:tabs>
          <w:tab w:val="clear" w:pos="1494"/>
        </w:tabs>
        <w:ind w:left="425" w:hanging="0"/>
        <w:jc w:val="both"/>
        <w:rPr>
          <w:rFonts w:cs="Arial"/>
          <w:sz w:val="20"/>
        </w:rPr>
      </w:pPr>
      <w:r>
        <w:rPr>
          <w:rFonts w:cs="Arial"/>
          <w:sz w:val="20"/>
        </w:rPr>
        <w:t xml:space="preserve">Das Maß der baulichen Nutzung ist durch Planeintrag festgesetzt und wird bestimmt durch Festsetzung der </w:t>
      </w:r>
    </w:p>
    <w:p>
      <w:pPr>
        <w:pStyle w:val="Aufzhlung"/>
        <w:keepNext w:val="false"/>
        <w:tabs>
          <w:tab w:val="clear" w:pos="1494"/>
        </w:tabs>
        <w:ind w:left="426" w:hanging="0"/>
        <w:rPr>
          <w:rFonts w:cs="Arial"/>
          <w:sz w:val="20"/>
        </w:rPr>
      </w:pPr>
      <w:r>
        <w:rPr>
          <w:rFonts w:cs="Arial"/>
          <w:sz w:val="20"/>
        </w:rPr>
      </w:r>
    </w:p>
    <w:p>
      <w:pPr>
        <w:pStyle w:val="BodyTextIndent2"/>
        <w:widowControl/>
        <w:numPr>
          <w:ilvl w:val="0"/>
          <w:numId w:val="1"/>
        </w:numPr>
        <w:ind w:left="1134" w:hanging="283"/>
        <w:jc w:val="left"/>
        <w:rPr/>
      </w:pPr>
      <w:r>
        <w:rPr/>
        <w:t xml:space="preserve">Höhe der baulichen Anlagen und der </w:t>
      </w:r>
    </w:p>
    <w:p>
      <w:pPr>
        <w:pStyle w:val="BodyTextIndent2"/>
        <w:widowControl/>
        <w:numPr>
          <w:ilvl w:val="0"/>
          <w:numId w:val="1"/>
        </w:numPr>
        <w:ind w:left="1134" w:hanging="283"/>
        <w:jc w:val="left"/>
        <w:rPr/>
      </w:pPr>
      <w:r>
        <w:rPr/>
        <w:t xml:space="preserve">Größe der Grundflächen baulicher Anlagen (GR). </w:t>
      </w:r>
    </w:p>
    <w:p>
      <w:pPr>
        <w:pStyle w:val="Berschrift3"/>
        <w:tabs>
          <w:tab w:val="left" w:pos="709" w:leader="none"/>
        </w:tabs>
        <w:rPr/>
      </w:pPr>
      <w:r>
        <w:rPr/>
        <w:t xml:space="preserve">2.1  </w:t>
        <w:tab/>
        <w:t>Höhe der baulichen Anlagen  (§ 18 BauNVO)</w:t>
      </w:r>
    </w:p>
    <w:p>
      <w:pPr>
        <w:pStyle w:val="Normal"/>
        <w:widowControl/>
        <w:tabs>
          <w:tab w:val="clear" w:pos="709"/>
          <w:tab w:val="left" w:pos="567" w:leader="none"/>
        </w:tabs>
        <w:ind w:left="426" w:hanging="426"/>
        <w:jc w:val="both"/>
        <w:rPr/>
      </w:pPr>
      <w:r>
        <w:rPr/>
        <w:tab/>
      </w:r>
    </w:p>
    <w:p>
      <w:pPr>
        <w:pStyle w:val="Normal"/>
        <w:widowControl/>
        <w:tabs>
          <w:tab w:val="clear" w:pos="709"/>
          <w:tab w:val="left" w:pos="567" w:leader="none"/>
        </w:tabs>
        <w:ind w:left="426" w:hanging="426"/>
        <w:jc w:val="both"/>
        <w:rPr/>
      </w:pPr>
      <w:r>
        <w:rPr/>
        <w:tab/>
        <w:t xml:space="preserve">Die Traufhöhe (TH) beträgt </w:t>
        <w:tab/>
        <w:tab/>
        <w:t>max. 3,50 m</w:t>
      </w:r>
    </w:p>
    <w:p>
      <w:pPr>
        <w:pStyle w:val="Normal"/>
        <w:widowControl/>
        <w:tabs>
          <w:tab w:val="clear" w:pos="709"/>
          <w:tab w:val="left" w:pos="567" w:leader="none"/>
        </w:tabs>
        <w:ind w:left="426" w:hanging="426"/>
        <w:jc w:val="both"/>
        <w:rPr/>
      </w:pPr>
      <w:r>
        <w:rPr/>
        <w:t xml:space="preserve"> </w:t>
      </w:r>
      <w:r>
        <w:rPr/>
        <w:tab/>
        <w:t xml:space="preserve">Die Firsthöhe (FH) beträgt  </w:t>
        <w:tab/>
        <w:tab/>
        <w:t xml:space="preserve">max. 6,00 m </w:t>
      </w:r>
    </w:p>
    <w:p>
      <w:pPr>
        <w:pStyle w:val="Normal"/>
        <w:widowControl/>
        <w:tabs>
          <w:tab w:val="clear" w:pos="709"/>
          <w:tab w:val="left" w:pos="567" w:leader="none"/>
        </w:tabs>
        <w:ind w:left="426" w:hanging="426"/>
        <w:jc w:val="both"/>
        <w:rPr/>
      </w:pPr>
      <w:r>
        <w:rPr/>
        <w:tab/>
      </w:r>
    </w:p>
    <w:p>
      <w:pPr>
        <w:pStyle w:val="Normal"/>
        <w:widowControl/>
        <w:tabs>
          <w:tab w:val="clear" w:pos="709"/>
          <w:tab w:val="left" w:pos="567" w:leader="none"/>
        </w:tabs>
        <w:ind w:left="426" w:hanging="426"/>
        <w:jc w:val="both"/>
        <w:rPr/>
      </w:pPr>
      <w:r>
        <w:rPr/>
        <w:tab/>
        <w:t xml:space="preserve">Bei den baulichen Anlagen für den Gemeinschaftsbedarf </w:t>
      </w:r>
    </w:p>
    <w:p>
      <w:pPr>
        <w:pStyle w:val="Normal"/>
        <w:widowControl/>
        <w:tabs>
          <w:tab w:val="clear" w:pos="709"/>
          <w:tab w:val="left" w:pos="567" w:leader="none"/>
        </w:tabs>
        <w:ind w:left="426" w:hanging="426"/>
        <w:jc w:val="both"/>
        <w:rPr/>
      </w:pPr>
      <w:r>
        <w:rPr/>
        <w:tab/>
        <w:t>beträgt die Traufhöhe (TH)</w:t>
        <w:tab/>
        <w:tab/>
        <w:t>max. 4,5 m,</w:t>
      </w:r>
    </w:p>
    <w:p>
      <w:pPr>
        <w:pStyle w:val="Normal"/>
        <w:widowControl/>
        <w:tabs>
          <w:tab w:val="clear" w:pos="709"/>
          <w:tab w:val="left" w:pos="567" w:leader="none"/>
        </w:tabs>
        <w:ind w:left="426" w:hanging="426"/>
        <w:jc w:val="both"/>
        <w:rPr/>
      </w:pPr>
      <w:r>
        <w:rPr/>
        <w:tab/>
        <w:t>die Firsthöhe (FH)</w:t>
        <w:tab/>
        <w:tab/>
        <w:tab/>
        <w:t>max. 7,0 m</w:t>
      </w:r>
    </w:p>
    <w:p>
      <w:pPr>
        <w:pStyle w:val="Normal"/>
        <w:widowControl/>
        <w:tabs>
          <w:tab w:val="clear" w:pos="709"/>
          <w:tab w:val="left" w:pos="567" w:leader="none"/>
        </w:tabs>
        <w:ind w:left="426" w:hanging="426"/>
        <w:jc w:val="both"/>
        <w:rPr/>
      </w:pPr>
      <w:r>
        <w:rPr/>
      </w:r>
    </w:p>
    <w:p>
      <w:pPr>
        <w:pStyle w:val="Normal"/>
        <w:widowControl/>
        <w:tabs>
          <w:tab w:val="clear" w:pos="709"/>
          <w:tab w:val="left" w:pos="567" w:leader="none"/>
        </w:tabs>
        <w:ind w:left="426" w:hanging="426"/>
        <w:jc w:val="both"/>
        <w:rPr/>
      </w:pPr>
      <w:r>
        <w:rPr/>
        <w:tab/>
        <w:t xml:space="preserve">Bei baulichen Anlagen mit einseitig geneigten Pultdächern (zur Dachneigung vgl. Örtliche Bauvorschriften) </w:t>
      </w:r>
    </w:p>
    <w:p>
      <w:pPr>
        <w:pStyle w:val="Normal"/>
        <w:widowControl/>
        <w:tabs>
          <w:tab w:val="clear" w:pos="709"/>
          <w:tab w:val="left" w:pos="480" w:leader="none"/>
        </w:tabs>
        <w:ind w:left="426" w:hanging="0"/>
        <w:jc w:val="both"/>
        <w:rPr/>
      </w:pPr>
      <w:r>
        <w:rPr/>
        <w:t xml:space="preserve">beträgt eine Traufhöhe </w:t>
        <w:tab/>
        <w:tab/>
        <w:t>(TH 1) max. 3,50 m.</w:t>
      </w:r>
    </w:p>
    <w:p>
      <w:pPr>
        <w:pStyle w:val="Normal"/>
        <w:widowControl/>
        <w:tabs>
          <w:tab w:val="clear" w:pos="709"/>
          <w:tab w:val="left" w:pos="480" w:leader="none"/>
        </w:tabs>
        <w:ind w:left="426" w:hanging="0"/>
        <w:jc w:val="both"/>
        <w:rPr/>
      </w:pPr>
      <w:r>
        <w:rPr/>
        <w:t xml:space="preserve">die zweite Traufhöhe </w:t>
        <w:tab/>
        <w:tab/>
        <w:t xml:space="preserve">(TH 2) max. 4,50 m. </w:t>
      </w:r>
    </w:p>
    <w:p>
      <w:pPr>
        <w:pStyle w:val="Normal"/>
        <w:widowControl/>
        <w:tabs>
          <w:tab w:val="clear" w:pos="709"/>
          <w:tab w:val="left" w:pos="480" w:leader="none"/>
        </w:tabs>
        <w:ind w:left="426" w:hanging="0"/>
        <w:jc w:val="both"/>
        <w:rPr/>
      </w:pPr>
      <w:r>
        <w:rPr/>
      </w:r>
    </w:p>
    <w:p>
      <w:pPr>
        <w:pStyle w:val="Normal"/>
        <w:widowControl/>
        <w:tabs>
          <w:tab w:val="clear" w:pos="709"/>
          <w:tab w:val="left" w:pos="480" w:leader="none"/>
        </w:tabs>
        <w:ind w:left="426" w:hanging="0"/>
        <w:jc w:val="both"/>
        <w:rPr/>
      </w:pPr>
      <w:r>
        <w:rPr/>
        <w:t>Bei Gebäuden mit Flachdach beträgt die Gebäudehöhe (oberste Außenwandbegrenzung/Attika) max. 3,50 m.</w:t>
      </w:r>
    </w:p>
    <w:p>
      <w:pPr>
        <w:pStyle w:val="Normal"/>
        <w:widowControl/>
        <w:tabs>
          <w:tab w:val="clear" w:pos="709"/>
          <w:tab w:val="left" w:pos="480" w:leader="none"/>
        </w:tabs>
        <w:ind w:left="426" w:hanging="0"/>
        <w:jc w:val="both"/>
        <w:rPr/>
      </w:pPr>
      <w:r>
        <w:rPr/>
      </w:r>
    </w:p>
    <w:p>
      <w:pPr>
        <w:pStyle w:val="Normal"/>
        <w:widowControl/>
        <w:ind w:firstLine="425"/>
        <w:jc w:val="both"/>
        <w:rPr/>
      </w:pPr>
      <w:r>
        <w:rPr/>
        <w:t>Als Traufhöhe ist die Schnittlinie der Außenwand mit der Dachhaut definiert.</w:t>
      </w:r>
    </w:p>
    <w:p>
      <w:pPr>
        <w:pStyle w:val="Normal"/>
        <w:widowControl/>
        <w:tabs>
          <w:tab w:val="clear" w:pos="709"/>
          <w:tab w:val="left" w:pos="567" w:leader="none"/>
        </w:tabs>
        <w:ind w:left="426" w:hanging="426"/>
        <w:jc w:val="both"/>
        <w:rPr/>
      </w:pPr>
      <w:r>
        <w:rPr/>
      </w:r>
    </w:p>
    <w:p>
      <w:pPr>
        <w:pStyle w:val="Normal"/>
        <w:widowControl/>
        <w:tabs>
          <w:tab w:val="clear" w:pos="709"/>
          <w:tab w:val="left" w:pos="567" w:leader="none"/>
        </w:tabs>
        <w:ind w:left="426" w:hanging="426"/>
        <w:jc w:val="both"/>
        <w:rPr/>
      </w:pPr>
      <w:r>
        <w:rPr/>
        <w:tab/>
        <w:t>Höhenbezugspunkt ist die Höhe der angrenzenden Verkehrsfläche in Grundstücksmitte. Bei Eckgrundstücken gilt der Mittelwert von beiden Grundstücksseiten.</w:t>
      </w:r>
    </w:p>
    <w:p>
      <w:pPr>
        <w:pStyle w:val="Normal"/>
        <w:widowControl/>
        <w:tabs>
          <w:tab w:val="clear" w:pos="709"/>
          <w:tab w:val="left" w:pos="567" w:leader="none"/>
        </w:tabs>
        <w:ind w:left="426" w:hanging="426"/>
        <w:jc w:val="both"/>
        <w:rPr/>
      </w:pPr>
      <w:r>
        <w:rPr/>
      </w:r>
    </w:p>
    <w:p>
      <w:pPr>
        <w:pStyle w:val="Berschrift3"/>
        <w:rPr/>
      </w:pPr>
      <w:r>
        <w:rPr/>
        <w:t xml:space="preserve">2.2 </w:t>
        <w:tab/>
        <w:t xml:space="preserve">Zulässige Grundfläche (GR)  </w:t>
      </w:r>
      <w:r>
        <w:rPr>
          <w:b w:val="false"/>
        </w:rPr>
        <w:t>(§ 19 BauNVO)</w:t>
      </w:r>
    </w:p>
    <w:p>
      <w:pPr>
        <w:pStyle w:val="Normal"/>
        <w:rPr/>
      </w:pPr>
      <w:r>
        <w:rPr/>
        <w:tab/>
      </w:r>
    </w:p>
    <w:p>
      <w:pPr>
        <w:pStyle w:val="Normal"/>
        <w:widowControl/>
        <w:tabs>
          <w:tab w:val="clear" w:pos="709"/>
          <w:tab w:val="left" w:pos="567" w:leader="none"/>
        </w:tabs>
        <w:ind w:left="426" w:hanging="426"/>
        <w:jc w:val="both"/>
        <w:rPr/>
      </w:pPr>
      <w:r>
        <w:rPr/>
        <w:tab/>
        <w:t xml:space="preserve">Im Sondergebiet 1 (SO 1) beträgt die zulässige Grundfläche (GR) </w:t>
      </w:r>
    </w:p>
    <w:p>
      <w:pPr>
        <w:pStyle w:val="Normal"/>
        <w:widowControl/>
        <w:numPr>
          <w:ilvl w:val="0"/>
          <w:numId w:val="3"/>
        </w:numPr>
        <w:tabs>
          <w:tab w:val="clear" w:pos="709"/>
          <w:tab w:val="left" w:pos="567" w:leader="none"/>
        </w:tabs>
        <w:ind w:left="1134" w:hanging="425"/>
        <w:jc w:val="both"/>
        <w:rPr>
          <w:lang w:val="fr-FR"/>
        </w:rPr>
      </w:pPr>
      <w:r>
        <w:rPr/>
        <w:t xml:space="preserve">der Wochenend- und Ferienhausgebäude </w:t>
      </w:r>
      <w:r>
        <w:rPr>
          <w:lang w:val="fr-FR"/>
        </w:rPr>
        <w:t>max. 90 m²</w:t>
      </w:r>
    </w:p>
    <w:p>
      <w:pPr>
        <w:pStyle w:val="Aufzhlung"/>
        <w:keepNext w:val="false"/>
        <w:numPr>
          <w:ilvl w:val="0"/>
          <w:numId w:val="2"/>
        </w:numPr>
        <w:ind w:left="1134" w:hanging="425"/>
        <w:rPr>
          <w:rFonts w:cs="Arial"/>
          <w:sz w:val="20"/>
        </w:rPr>
      </w:pPr>
      <w:r>
        <w:rPr>
          <w:rFonts w:cs="Arial"/>
          <w:sz w:val="20"/>
        </w:rPr>
        <w:t>von Terrassen, Pergolen und Wintergärten insgesamt max. 30 m²</w:t>
      </w:r>
    </w:p>
    <w:p>
      <w:pPr>
        <w:pStyle w:val="Aufzhlung"/>
        <w:keepNext w:val="false"/>
        <w:numPr>
          <w:ilvl w:val="0"/>
          <w:numId w:val="2"/>
        </w:numPr>
        <w:ind w:left="1134" w:hanging="425"/>
        <w:rPr>
          <w:rFonts w:cs="Arial"/>
          <w:sz w:val="20"/>
        </w:rPr>
      </w:pPr>
      <w:r>
        <w:rPr>
          <w:rFonts w:cs="Arial"/>
          <w:sz w:val="20"/>
        </w:rPr>
        <w:t>von Garagen und Stellplätzen mit Ihren Zufahrten, sowie Nebenanlagen im Sinne des § 14 BauNVO insgesamt max. 60 m²</w:t>
      </w:r>
    </w:p>
    <w:p>
      <w:pPr>
        <w:pStyle w:val="Normal"/>
        <w:widowControl/>
        <w:tabs>
          <w:tab w:val="clear" w:pos="709"/>
          <w:tab w:val="left" w:pos="567" w:leader="none"/>
        </w:tabs>
        <w:ind w:left="426" w:hanging="426"/>
        <w:jc w:val="both"/>
        <w:rPr>
          <w:lang w:val="fr-FR"/>
        </w:rPr>
      </w:pPr>
      <w:r>
        <w:rPr>
          <w:lang w:val="fr-FR"/>
        </w:rPr>
      </w:r>
    </w:p>
    <w:p>
      <w:pPr>
        <w:pStyle w:val="Normal"/>
        <w:widowControl/>
        <w:tabs>
          <w:tab w:val="clear" w:pos="709"/>
          <w:tab w:val="left" w:pos="567" w:leader="none"/>
        </w:tabs>
        <w:ind w:left="426" w:hanging="426"/>
        <w:jc w:val="both"/>
        <w:rPr/>
      </w:pPr>
      <w:r>
        <w:rPr/>
        <w:tab/>
        <w:t xml:space="preserve">Im Sondergebiet 2 (SO 2) beträgt die zulässige Grundfläche (GR) </w:t>
      </w:r>
    </w:p>
    <w:p>
      <w:pPr>
        <w:pStyle w:val="Normal"/>
        <w:widowControl/>
        <w:numPr>
          <w:ilvl w:val="0"/>
          <w:numId w:val="3"/>
        </w:numPr>
        <w:tabs>
          <w:tab w:val="clear" w:pos="709"/>
          <w:tab w:val="left" w:pos="567" w:leader="none"/>
        </w:tabs>
        <w:ind w:left="1134" w:hanging="425"/>
        <w:jc w:val="both"/>
        <w:rPr>
          <w:lang w:val="fr-FR"/>
        </w:rPr>
      </w:pPr>
      <w:r>
        <w:rPr/>
        <w:t xml:space="preserve">der Wochenendhausgebäude </w:t>
      </w:r>
      <w:r>
        <w:rPr>
          <w:lang w:val="fr-FR"/>
        </w:rPr>
        <w:t>max. 110 m²</w:t>
      </w:r>
    </w:p>
    <w:p>
      <w:pPr>
        <w:pStyle w:val="Aufzhlung"/>
        <w:keepNext w:val="false"/>
        <w:numPr>
          <w:ilvl w:val="0"/>
          <w:numId w:val="2"/>
        </w:numPr>
        <w:ind w:left="1134" w:hanging="425"/>
        <w:rPr>
          <w:rFonts w:cs="Arial"/>
          <w:sz w:val="20"/>
        </w:rPr>
      </w:pPr>
      <w:r>
        <w:rPr>
          <w:rFonts w:cs="Arial"/>
          <w:sz w:val="20"/>
        </w:rPr>
        <w:t>von Terrassen, Pergolen und Wintergärten insgesamt max. 30 m²</w:t>
      </w:r>
    </w:p>
    <w:p>
      <w:pPr>
        <w:pStyle w:val="Aufzhlung"/>
        <w:keepNext w:val="false"/>
        <w:numPr>
          <w:ilvl w:val="0"/>
          <w:numId w:val="2"/>
        </w:numPr>
        <w:ind w:left="1134" w:hanging="425"/>
        <w:rPr>
          <w:rFonts w:cs="Arial"/>
          <w:sz w:val="20"/>
        </w:rPr>
      </w:pPr>
      <w:r>
        <w:rPr>
          <w:rFonts w:cs="Arial"/>
          <w:sz w:val="20"/>
        </w:rPr>
        <w:t>von Garagen und Stellplätzen mit Ihren Zufahrten, sowie Nebenanlagen im Sinne des § 14 BauNVO insgesamt max. 80 m²</w:t>
      </w:r>
    </w:p>
    <w:p>
      <w:pPr>
        <w:pStyle w:val="Normal"/>
        <w:widowControl/>
        <w:tabs>
          <w:tab w:val="clear" w:pos="709"/>
          <w:tab w:val="left" w:pos="567" w:leader="none"/>
        </w:tabs>
        <w:ind w:left="426" w:hanging="426"/>
        <w:jc w:val="both"/>
        <w:rPr/>
      </w:pPr>
      <w:r>
        <w:rPr/>
      </w:r>
    </w:p>
    <w:p>
      <w:pPr>
        <w:pStyle w:val="Normal"/>
        <w:widowControl/>
        <w:tabs>
          <w:tab w:val="clear" w:pos="709"/>
          <w:tab w:val="left" w:pos="720" w:leader="none"/>
        </w:tabs>
        <w:ind w:left="480" w:hanging="0"/>
        <w:jc w:val="both"/>
        <w:rPr/>
      </w:pPr>
      <w:r>
        <w:rPr/>
      </w:r>
    </w:p>
    <w:p>
      <w:pPr>
        <w:pStyle w:val="Normal"/>
        <w:widowControl/>
        <w:tabs>
          <w:tab w:val="clear" w:pos="709"/>
          <w:tab w:val="left" w:pos="720" w:leader="none"/>
        </w:tabs>
        <w:ind w:left="426" w:hanging="0"/>
        <w:jc w:val="both"/>
        <w:rPr/>
      </w:pPr>
      <w:r>
        <w:rPr/>
        <w:t>Für die gemeinschaftliche Nutzung sind max. 4 bauliche Anlagen mit einer Grundfläche von insgesamt max. 500 m² zulässig.</w:t>
      </w:r>
    </w:p>
    <w:p>
      <w:pPr>
        <w:pStyle w:val="Normal"/>
        <w:rPr/>
      </w:pPr>
      <w:r>
        <w:rPr/>
      </w:r>
    </w:p>
    <w:p>
      <w:pPr>
        <w:pStyle w:val="Berschrift2"/>
        <w:rPr/>
      </w:pPr>
      <w:r>
        <w:rPr/>
        <w:t>3.</w:t>
        <w:tab/>
        <w:t>Bauweise  (§ 9 Abs. 1 Nr. 2 BauGB i.V.m. § 22 BauNVO)</w:t>
      </w:r>
    </w:p>
    <w:p>
      <w:pPr>
        <w:pStyle w:val="Normal"/>
        <w:ind w:left="425" w:right="-1" w:hanging="0"/>
        <w:jc w:val="both"/>
        <w:rPr/>
      </w:pPr>
      <w:r>
        <w:rPr/>
        <w:t>Die Gebäude sind ausschließlich als Einzelhäuser in offener Bauweise zulässig.</w:t>
      </w:r>
    </w:p>
    <w:p>
      <w:pPr>
        <w:pStyle w:val="Normal"/>
        <w:ind w:left="425" w:hanging="0"/>
        <w:jc w:val="both"/>
        <w:rPr/>
      </w:pPr>
      <w:r>
        <w:rPr/>
      </w:r>
    </w:p>
    <w:p>
      <w:pPr>
        <w:pStyle w:val="Normal"/>
        <w:ind w:left="425" w:hanging="0"/>
        <w:jc w:val="both"/>
        <w:rPr/>
      </w:pPr>
      <w:r>
        <w:rPr/>
      </w:r>
    </w:p>
    <w:p>
      <w:pPr>
        <w:pStyle w:val="Normal"/>
        <w:ind w:left="425" w:hanging="0"/>
        <w:jc w:val="both"/>
        <w:rPr/>
      </w:pPr>
      <w:r>
        <w:rPr/>
      </w:r>
    </w:p>
    <w:p>
      <w:pPr>
        <w:pStyle w:val="Normal"/>
        <w:ind w:left="425" w:hanging="0"/>
        <w:jc w:val="both"/>
        <w:rPr/>
      </w:pPr>
      <w:r>
        <w:rPr/>
      </w:r>
    </w:p>
    <w:p>
      <w:pPr>
        <w:pStyle w:val="Normal"/>
        <w:ind w:left="425" w:hanging="0"/>
        <w:jc w:val="both"/>
        <w:rPr/>
      </w:pPr>
      <w:r>
        <w:rPr/>
      </w:r>
    </w:p>
    <w:p>
      <w:pPr>
        <w:pStyle w:val="Berschrift2"/>
        <w:rPr/>
      </w:pPr>
      <w:r>
        <w:rPr/>
        <w:t>4.</w:t>
        <w:tab/>
        <w:t>Überbaubare Grundstücksfläche  (§ 9 Abs. 1 Nr. 2 BauGB i.V.m. § 23 BauNVO)</w:t>
      </w:r>
    </w:p>
    <w:p>
      <w:pPr>
        <w:pStyle w:val="Normal"/>
        <w:ind w:left="425" w:right="-1" w:hanging="0"/>
        <w:jc w:val="both"/>
        <w:rPr/>
      </w:pPr>
      <w:r>
        <w:rPr/>
        <w:t xml:space="preserve">Die überbaubaren Grundstücksflächen sind in der Planzeichnung durch Baugrenzen festgesetzt. </w:t>
      </w:r>
    </w:p>
    <w:p>
      <w:pPr>
        <w:pStyle w:val="Normal"/>
        <w:ind w:left="425" w:right="-1" w:hanging="0"/>
        <w:jc w:val="both"/>
        <w:rPr/>
      </w:pPr>
      <w:r>
        <w:rPr/>
      </w:r>
    </w:p>
    <w:p>
      <w:pPr>
        <w:pStyle w:val="Normal"/>
        <w:ind w:left="425" w:right="-1" w:hanging="0"/>
        <w:jc w:val="both"/>
        <w:rPr/>
      </w:pPr>
      <w:r>
        <w:rPr/>
        <w:t>Garagen, überdachte Stellplätze und Stellplätze sowie Nebenanlagen im Sinne des § 14 BauVO sind auch außerhalb der überbaubaren Flächen zulässig.</w:t>
      </w:r>
    </w:p>
    <w:p>
      <w:pPr>
        <w:pStyle w:val="Berschrift2"/>
        <w:rPr/>
      </w:pPr>
      <w:r>
        <w:rPr/>
        <w:t>5.</w:t>
        <w:tab/>
        <w:t>Flächen für Stellplätze und Garagen (§ 9 Abs. 1 Nr. 4 BauGB)</w:t>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bCs/>
        </w:rPr>
      </w:pPr>
      <w:r>
        <w:rPr>
          <w:bCs/>
        </w:rPr>
        <w:t xml:space="preserve">Im </w:t>
      </w:r>
      <w:r>
        <w:rPr>
          <w:b/>
          <w:bCs/>
        </w:rPr>
        <w:t>Sondergebiet 1</w:t>
      </w:r>
      <w:r>
        <w:rPr>
          <w:bCs/>
        </w:rPr>
        <w:t xml:space="preserve"> (SO1) sind pro Grundstück ist max. eine Garage oder ein überdachter Stellplatz ("Carport") zulässig. Zusätzlich sind jeweils 2 nicht überdachte Stellplätze zulässig. Die genannten Garagen und Stellplätze sind ausschließlich innerhalb der überbaubaren Fläche und innerhalb der Fläche zwischen der überbaubaren Fläche und der öffentlichen Verkehrsfläche zulässig.</w:t>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pPr>
      <w:r>
        <w:rPr>
          <w:bCs/>
        </w:rPr>
        <w:t xml:space="preserve">Überdachte Stellplätze und Garagen sind auf der Seite der Zufahrt mind. 6,0 m von der Straßenbegrenzungslinie abzurücken. Nicht überdachte Stellplätze </w:t>
      </w:r>
      <w:r>
        <w:rPr/>
        <w:t>sind in wasserdurchlässiger Bauweise auszuführen.</w:t>
      </w:r>
    </w:p>
    <w:p>
      <w:pPr>
        <w:pStyle w:val="Normal"/>
        <w:tabs>
          <w:tab w:val="clear" w:pos="709"/>
          <w:tab w:val="left" w:pos="426" w:leader="none"/>
        </w:tabs>
        <w:ind w:left="426" w:hanging="0"/>
        <w:jc w:val="both"/>
        <w:rPr/>
      </w:pPr>
      <w:r>
        <w:rPr/>
      </w:r>
    </w:p>
    <w:p>
      <w:pPr>
        <w:pStyle w:val="Normal"/>
        <w:tabs>
          <w:tab w:val="clear" w:pos="709"/>
          <w:tab w:val="left" w:pos="426" w:leader="none"/>
        </w:tabs>
        <w:ind w:left="426" w:hanging="0"/>
        <w:jc w:val="both"/>
        <w:rPr/>
      </w:pPr>
      <w:r>
        <w:rPr/>
        <w:t>Grundstücks- und Stellplatzzufahrten sind auf insgesamt max. 6 m Breite pro Grundstück zulässig.</w:t>
      </w:r>
    </w:p>
    <w:p>
      <w:pPr>
        <w:pStyle w:val="Normal"/>
        <w:tabs>
          <w:tab w:val="clear" w:pos="709"/>
          <w:tab w:val="left" w:pos="426" w:leader="none"/>
        </w:tabs>
        <w:ind w:left="426" w:hanging="0"/>
        <w:jc w:val="both"/>
        <w:rPr/>
      </w:pPr>
      <w:r>
        <w:rPr/>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bCs/>
        </w:rPr>
      </w:pPr>
      <w:r>
        <w:rPr>
          <w:bCs/>
        </w:rPr>
        <w:t xml:space="preserve">Im </w:t>
      </w:r>
      <w:r>
        <w:rPr>
          <w:b/>
          <w:bCs/>
        </w:rPr>
        <w:t>Sondergebiet 2</w:t>
      </w:r>
      <w:r>
        <w:rPr>
          <w:bCs/>
        </w:rPr>
        <w:t xml:space="preserve"> (SO2) sind pro Grundstück max. 2 Garagen oder zwei überdachte Stellplätze ("Carport") zulässig.  Zusätzlich sind jeweils 2 nicht überdachte Stellplätze zulässig. Die genannten Garagen und Stellplätze sind auch außerhalb der überbaubaren Fläche zulässig.</w:t>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bCs/>
        </w:rPr>
      </w:pPr>
      <w:r>
        <w:rPr>
          <w:bCs/>
        </w:rPr>
        <w:t>Überdachte Stellplätze und Garagen sind auf der Seite der Zufahrt mind. 6,0 m von der Straßenbegrenzungslinie abzurücken.</w:t>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bCs/>
        </w:rPr>
      </w:pPr>
      <w:r>
        <w:rPr>
          <w:bCs/>
        </w:rPr>
        <w:t xml:space="preserve">Nicht überdachte Stellplätze </w:t>
      </w:r>
      <w:r>
        <w:rPr/>
        <w:t>sind in wasserdurchlässiger Bauweise auszuführen.</w:t>
      </w:r>
    </w:p>
    <w:p>
      <w:pPr>
        <w:pStyle w:val="Normal"/>
        <w:tabs>
          <w:tab w:val="clear" w:pos="709"/>
          <w:tab w:val="left" w:pos="426" w:leader="none"/>
        </w:tabs>
        <w:ind w:left="426" w:hanging="0"/>
        <w:jc w:val="both"/>
        <w:rPr>
          <w:bCs/>
        </w:rPr>
      </w:pPr>
      <w:r>
        <w:rPr>
          <w:bCs/>
        </w:rPr>
      </w:r>
    </w:p>
    <w:p>
      <w:pPr>
        <w:pStyle w:val="Normal"/>
        <w:tabs>
          <w:tab w:val="clear" w:pos="709"/>
          <w:tab w:val="left" w:pos="426" w:leader="none"/>
        </w:tabs>
        <w:ind w:left="426" w:hanging="0"/>
        <w:jc w:val="both"/>
        <w:rPr/>
      </w:pPr>
      <w:r>
        <w:rPr/>
        <w:t>Grundstücks- und Stellplatzzufahrten sind auf insgesamt max. 4,5 m Breite pro Grundstück zulässig.</w:t>
      </w:r>
    </w:p>
    <w:p>
      <w:pPr>
        <w:pStyle w:val="Normal"/>
        <w:tabs>
          <w:tab w:val="clear" w:pos="709"/>
          <w:tab w:val="left" w:pos="426" w:leader="none"/>
        </w:tabs>
        <w:ind w:left="426" w:hanging="0"/>
        <w:jc w:val="both"/>
        <w:rPr>
          <w:bCs/>
        </w:rPr>
      </w:pPr>
      <w:r>
        <w:rPr>
          <w:bCs/>
        </w:rPr>
      </w:r>
    </w:p>
    <w:p>
      <w:pPr>
        <w:pStyle w:val="Berschrift2"/>
        <w:rPr>
          <w:b w:val="false"/>
          <w:b w:val="false"/>
        </w:rPr>
      </w:pPr>
      <w:r>
        <w:rPr/>
        <w:t>6.</w:t>
        <w:tab/>
        <w:t xml:space="preserve">Bindungen für das Anpflanzen von Bäumen, Sträuchern und sonstigen Bepflanzungen  </w:t>
      </w:r>
    </w:p>
    <w:p>
      <w:pPr>
        <w:pStyle w:val="Normal"/>
        <w:widowControl/>
        <w:tabs>
          <w:tab w:val="clear" w:pos="709"/>
          <w:tab w:val="left" w:pos="567" w:leader="none"/>
        </w:tabs>
        <w:spacing w:before="0" w:after="60"/>
        <w:ind w:left="425" w:hanging="425"/>
        <w:jc w:val="both"/>
        <w:rPr>
          <w:b/>
          <w:b/>
        </w:rPr>
      </w:pPr>
      <w:r>
        <w:rPr>
          <w:b/>
        </w:rPr>
        <w:tab/>
        <w:t xml:space="preserve">Anzupflanzende Bäume und Sträucher </w:t>
      </w:r>
    </w:p>
    <w:p>
      <w:pPr>
        <w:pStyle w:val="Normal"/>
        <w:suppressAutoHyphens w:val="true"/>
        <w:ind w:left="425" w:hanging="0"/>
        <w:jc w:val="both"/>
        <w:rPr>
          <w:bCs/>
        </w:rPr>
      </w:pPr>
      <w:r>
        <w:rPr/>
        <w:t>Pro Wochenend- und Ferienhausgebäude ist mindestens ein standortgerechter Laub- oder Obstbaum zu pflanzen und dauerhaft zu erhalten.</w:t>
      </w:r>
    </w:p>
    <w:p>
      <w:pPr>
        <w:pStyle w:val="BodyTextIndent2"/>
        <w:widowControl/>
        <w:tabs>
          <w:tab w:val="clear" w:pos="567"/>
        </w:tabs>
        <w:ind w:left="425" w:hanging="0"/>
        <w:rPr/>
      </w:pPr>
      <w:r>
        <w:rPr/>
      </w:r>
    </w:p>
    <w:p>
      <w:pPr>
        <w:pStyle w:val="BodyTextIndent2"/>
        <w:widowControl/>
        <w:tabs>
          <w:tab w:val="clear" w:pos="567"/>
        </w:tabs>
        <w:ind w:left="425" w:hanging="0"/>
        <w:rPr/>
      </w:pPr>
      <w:r>
        <w:rPr/>
        <w:t>Auf den in der Planzeichnung festgesetzten Grünflächen mit Pflanzgebot (PfG) sind Vegetationsflächen mit landschafts- und standortgerechten Bäumen und Gehölzen herzustellen und dauerhaft zu erhalten. Pro 100 m² Vegetationsfläche sind durchschnittlich mind. 40 Sträucher, auf den gesamten Vegetationsflächen insgesamt 70 Bäume zu pflanzen.</w:t>
      </w:r>
    </w:p>
    <w:p>
      <w:pPr>
        <w:pStyle w:val="BodyTextIndent2"/>
        <w:widowControl/>
        <w:tabs>
          <w:tab w:val="clear" w:pos="567"/>
        </w:tabs>
        <w:ind w:left="425" w:hanging="0"/>
        <w:rPr/>
      </w:pPr>
      <w:r>
        <w:rPr/>
      </w:r>
    </w:p>
    <w:p>
      <w:pPr>
        <w:pStyle w:val="BodyTextIndent2"/>
        <w:widowControl/>
        <w:tabs>
          <w:tab w:val="clear" w:pos="567"/>
        </w:tabs>
        <w:ind w:left="425" w:hanging="0"/>
        <w:rPr/>
      </w:pPr>
      <w:r>
        <w:rPr/>
        <w:t>Pflanzmaßnahmen sind spätestens in der auf die Erschließungsmaßnahme folgenden Vegetationsperiode vorzunehmen.</w:t>
      </w:r>
    </w:p>
    <w:p>
      <w:pPr>
        <w:pStyle w:val="BodyTextIndent2"/>
        <w:widowControl/>
        <w:tabs>
          <w:tab w:val="clear" w:pos="567"/>
        </w:tabs>
        <w:ind w:left="425" w:hanging="0"/>
        <w:rPr/>
      </w:pPr>
      <w:r>
        <w:rPr/>
      </w:r>
    </w:p>
    <w:p>
      <w:pPr>
        <w:pStyle w:val="BodyTextIndent2"/>
        <w:widowControl/>
        <w:tabs>
          <w:tab w:val="clear" w:pos="567"/>
        </w:tabs>
        <w:ind w:left="425" w:hanging="0"/>
        <w:rPr/>
      </w:pPr>
      <w:r>
        <w:rPr/>
      </w:r>
    </w:p>
    <w:p>
      <w:pPr>
        <w:pStyle w:val="ListParagraph"/>
        <w:tabs>
          <w:tab w:val="clear" w:pos="709"/>
          <w:tab w:val="left" w:pos="-1418" w:leader="none"/>
        </w:tabs>
        <w:spacing w:lineRule="auto" w:line="276" w:before="0" w:after="60"/>
        <w:ind w:left="425" w:hanging="0"/>
        <w:contextualSpacing/>
        <w:jc w:val="both"/>
        <w:rPr>
          <w:b/>
          <w:b/>
        </w:rPr>
      </w:pPr>
      <w:r>
        <w:rPr>
          <w:b/>
        </w:rPr>
        <w:t>Dachbegrünung</w:t>
      </w:r>
    </w:p>
    <w:p>
      <w:pPr>
        <w:pStyle w:val="ListParagraph"/>
        <w:tabs>
          <w:tab w:val="clear" w:pos="709"/>
          <w:tab w:val="left" w:pos="-1418" w:leader="none"/>
        </w:tabs>
        <w:spacing w:lineRule="auto" w:line="276" w:before="0" w:after="60"/>
        <w:ind w:left="425" w:hanging="0"/>
        <w:contextualSpacing/>
        <w:jc w:val="both"/>
        <w:rPr/>
      </w:pPr>
      <w:r>
        <w:rPr/>
        <w:t xml:space="preserve">Die Dachflächen der Wochenend- und Ferienhausgebäude sind im Falle von Flachdächern und flach geneigten Dächern bis </w:t>
      </w:r>
      <w:r>
        <w:rPr>
          <w:rFonts w:cs="Arial"/>
        </w:rPr>
        <w:t xml:space="preserve">15° </w:t>
      </w:r>
      <w:r>
        <w:rPr/>
        <w:t>Dachneigung sind auf mind. 75 % der Fläche als Vegetationsflächen extensiv zu begrünen, zu pflegen und zu erhalten. Die durchwurzelbare Substrathöhe muss mindestens 10 cm betragen. Eine Begrünung der Dachflächen von Garagen und überdachten Stellplätzen ist nicht erforderlich.</w:t>
      </w:r>
    </w:p>
    <w:p>
      <w:pPr>
        <w:pStyle w:val="ListParagraph"/>
        <w:tabs>
          <w:tab w:val="clear" w:pos="709"/>
          <w:tab w:val="left" w:pos="-1418" w:leader="none"/>
          <w:tab w:val="left" w:pos="1560" w:leader="none"/>
        </w:tabs>
        <w:ind w:left="425" w:hanging="0"/>
        <w:jc w:val="both"/>
        <w:rPr/>
      </w:pPr>
      <w:r>
        <w:rPr/>
      </w:r>
    </w:p>
    <w:p>
      <w:pPr>
        <w:pStyle w:val="BodyTextIndent2"/>
        <w:widowControl/>
        <w:tabs>
          <w:tab w:val="clear" w:pos="567"/>
        </w:tabs>
        <w:ind w:left="425" w:hanging="0"/>
        <w:rPr/>
      </w:pPr>
      <w:r>
        <w:rPr/>
        <w:t>Die Kombination von Anlagen zur solarenergetischen Nutzung mit Dachbegrünung ist zulässig.</w:t>
      </w:r>
    </w:p>
    <w:p>
      <w:pPr>
        <w:pStyle w:val="Berschrift1"/>
        <w:rPr>
          <w:sz w:val="24"/>
          <w:szCs w:val="24"/>
        </w:rPr>
      </w:pPr>
      <w:r>
        <w:rPr>
          <w:sz w:val="24"/>
          <w:szCs w:val="24"/>
        </w:rPr>
        <w:t>II b</w:t>
        <w:tab/>
        <w:t>Örtliche Bauvorschriften  (§ 89 SächsBO)</w:t>
      </w:r>
    </w:p>
    <w:p>
      <w:pPr>
        <w:pStyle w:val="Berschrift2"/>
        <w:rPr/>
      </w:pPr>
      <w:r>
        <w:rPr/>
        <w:t xml:space="preserve">1. </w:t>
        <w:tab/>
        <w:t>Gestaltung baulicher Anlagen  (§ 89 Abs.1 Nr. 1 SächsBO)</w:t>
      </w:r>
    </w:p>
    <w:p>
      <w:pPr>
        <w:pStyle w:val="Normal"/>
        <w:spacing w:before="0" w:after="60"/>
        <w:ind w:left="425" w:hanging="425"/>
        <w:jc w:val="both"/>
        <w:rPr/>
      </w:pPr>
      <w:r>
        <w:rPr/>
        <w:tab/>
      </w:r>
      <w:r>
        <w:rPr>
          <w:b/>
        </w:rPr>
        <w:t>Dachgestaltung</w:t>
      </w:r>
    </w:p>
    <w:p>
      <w:pPr>
        <w:pStyle w:val="Normal"/>
        <w:ind w:left="425" w:hanging="425"/>
        <w:jc w:val="both"/>
        <w:rPr>
          <w:bCs/>
          <w:iCs/>
        </w:rPr>
      </w:pPr>
      <w:r>
        <w:rPr/>
        <w:tab/>
        <w:t xml:space="preserve">Die Dächer der Wochenend- und Ferienhausgebäude sind als geneigte Dächer bis max. 35° Dachneigung auszuführen. </w:t>
      </w:r>
      <w:r>
        <w:rPr>
          <w:bCs/>
          <w:iCs/>
        </w:rPr>
        <w:t>Bei Dachbegrünung sind Flachdächer ausnahmsweise zulässig.</w:t>
      </w:r>
    </w:p>
    <w:p>
      <w:pPr>
        <w:pStyle w:val="Normal"/>
        <w:ind w:left="425" w:hanging="0"/>
        <w:jc w:val="both"/>
        <w:rPr>
          <w:bCs/>
          <w:iCs/>
        </w:rPr>
      </w:pPr>
      <w:r>
        <w:rPr>
          <w:bCs/>
          <w:iCs/>
        </w:rPr>
      </w:r>
    </w:p>
    <w:p>
      <w:pPr>
        <w:pStyle w:val="Normal"/>
        <w:ind w:left="425" w:hanging="0"/>
        <w:jc w:val="both"/>
        <w:rPr>
          <w:bCs/>
          <w:iCs/>
        </w:rPr>
      </w:pPr>
      <w:r>
        <w:rPr>
          <w:bCs/>
          <w:iCs/>
        </w:rPr>
        <w:t>Dachaufbauten, Dacheinschnitte, Zwerchhäuser und/oder Zwerchgiebel sind unzulässig.</w:t>
      </w:r>
    </w:p>
    <w:p>
      <w:pPr>
        <w:pStyle w:val="Normal"/>
        <w:ind w:left="425" w:hanging="0"/>
        <w:jc w:val="both"/>
        <w:rPr>
          <w:bCs/>
          <w:iCs/>
        </w:rPr>
      </w:pPr>
      <w:r>
        <w:rPr>
          <w:bCs/>
          <w:iCs/>
        </w:rPr>
      </w:r>
    </w:p>
    <w:p>
      <w:pPr>
        <w:pStyle w:val="Normal"/>
        <w:ind w:left="425" w:hanging="0"/>
        <w:jc w:val="both"/>
        <w:rPr>
          <w:bCs/>
          <w:iCs/>
        </w:rPr>
      </w:pPr>
      <w:r>
        <w:rPr/>
        <w:t xml:space="preserve">Anlagen zur solarenergetischen Nutzung sind zulässig. Bei geneigten Dächern sind sie in gleicher Neigung zu errichten. </w:t>
      </w:r>
    </w:p>
    <w:p>
      <w:pPr>
        <w:pStyle w:val="Berschrift2"/>
        <w:rPr/>
      </w:pPr>
      <w:r>
        <w:rPr/>
        <w:t>2.</w:t>
        <w:tab/>
        <w:t>Gestaltung der unbebauten Flächen, Einfriedungen  (§ 89 Abs.1 Nr. 5 SächsBO)</w:t>
      </w:r>
    </w:p>
    <w:p>
      <w:pPr>
        <w:pStyle w:val="Normal"/>
        <w:tabs>
          <w:tab w:val="clear" w:pos="709"/>
          <w:tab w:val="left" w:pos="-2410" w:leader="none"/>
          <w:tab w:val="left" w:pos="567" w:leader="none"/>
        </w:tabs>
        <w:ind w:left="425" w:hanging="0"/>
        <w:jc w:val="both"/>
        <w:rPr>
          <w:highlight w:val="lightGray"/>
        </w:rPr>
      </w:pPr>
      <w:r>
        <w:rPr/>
        <w:t xml:space="preserve">Die </w:t>
      </w:r>
      <w:r>
        <w:rPr>
          <w:bCs/>
        </w:rPr>
        <w:t xml:space="preserve">nicht überbauten </w:t>
      </w:r>
      <w:r>
        <w:rPr/>
        <w:t>Grundstücksflächen sind soweit wie möglich unbefestigt zu belassen und als Vegetationsflächen gärtnerisch zu gestalten und dauerhaft zu erhalten.</w:t>
      </w:r>
      <w:r>
        <w:rPr>
          <w:highlight w:val="lightGray"/>
        </w:rPr>
        <w:t xml:space="preserve"> </w:t>
      </w:r>
    </w:p>
    <w:p>
      <w:pPr>
        <w:pStyle w:val="Normal"/>
        <w:tabs>
          <w:tab w:val="clear" w:pos="709"/>
          <w:tab w:val="left" w:pos="-2410" w:leader="none"/>
          <w:tab w:val="left" w:pos="1560" w:leader="none"/>
        </w:tabs>
        <w:ind w:left="426" w:hanging="0"/>
        <w:jc w:val="both"/>
        <w:rPr>
          <w:bCs/>
        </w:rPr>
      </w:pPr>
      <w:r>
        <w:rPr>
          <w:bCs/>
        </w:rPr>
      </w:r>
    </w:p>
    <w:p>
      <w:pPr>
        <w:pStyle w:val="Normal"/>
        <w:tabs>
          <w:tab w:val="clear" w:pos="709"/>
          <w:tab w:val="left" w:pos="-2410" w:leader="none"/>
          <w:tab w:val="left" w:pos="1560" w:leader="none"/>
        </w:tabs>
        <w:ind w:left="425" w:hanging="0"/>
        <w:jc w:val="both"/>
        <w:rPr>
          <w:bCs/>
        </w:rPr>
      </w:pPr>
      <w:r>
        <w:rPr>
          <w:bCs/>
        </w:rPr>
        <w:t xml:space="preserve">Die nicht überbauten Grundstücksflächen sind auf die Höhe der angrenzenden öffentlichen Erschließungsfläche anzugleichen. Höhenunterschiede zu Nachbargrundstücken sind entsprechend anzugleichen. </w:t>
      </w:r>
    </w:p>
    <w:p>
      <w:pPr>
        <w:pStyle w:val="Normal"/>
        <w:widowControl/>
        <w:tabs>
          <w:tab w:val="clear" w:pos="709"/>
          <w:tab w:val="left" w:pos="426" w:leader="none"/>
        </w:tabs>
        <w:ind w:left="426" w:hanging="0"/>
        <w:jc w:val="both"/>
        <w:rPr>
          <w:bCs/>
        </w:rPr>
      </w:pPr>
      <w:r>
        <w:rPr>
          <w:bCs/>
        </w:rPr>
      </w:r>
    </w:p>
    <w:p>
      <w:pPr>
        <w:pStyle w:val="Normal"/>
        <w:tabs>
          <w:tab w:val="clear" w:pos="709"/>
          <w:tab w:val="left" w:pos="-2410" w:leader="none"/>
          <w:tab w:val="left" w:pos="1560" w:leader="none"/>
        </w:tabs>
        <w:ind w:left="426" w:hanging="0"/>
        <w:jc w:val="both"/>
        <w:rPr>
          <w:bCs/>
        </w:rPr>
      </w:pPr>
      <w:r>
        <w:rPr>
          <w:bCs/>
        </w:rPr>
        <w:t>Einfriedungen zu Verkehrsflächen sind mind. 1,0 m von der Grenze abzurücken und in einer Höhe von max. 1,20 m als offene Einfriedungen (z.B. Metallgitterzaun, Maschendrahtzaun, Holzlattenzaun), als Sträucher oder geschnittene Hecken zulässig. Die Verwendung von Stacheldraht ist unzulässig. Höhenbezugspunkt ist die Höhe der angrenzenden öffentlichen Verkehrsfläche</w:t>
      </w:r>
    </w:p>
    <w:p>
      <w:pPr>
        <w:pStyle w:val="Normal"/>
        <w:tabs>
          <w:tab w:val="clear" w:pos="709"/>
          <w:tab w:val="left" w:pos="-2410" w:leader="none"/>
          <w:tab w:val="left" w:pos="1560" w:leader="none"/>
        </w:tabs>
        <w:ind w:left="426" w:hanging="0"/>
        <w:jc w:val="both"/>
        <w:rPr>
          <w:bCs/>
        </w:rPr>
      </w:pPr>
      <w:r>
        <w:rPr>
          <w:bCs/>
        </w:rPr>
      </w:r>
    </w:p>
    <w:p>
      <w:pPr>
        <w:pStyle w:val="Normal"/>
        <w:tabs>
          <w:tab w:val="clear" w:pos="709"/>
          <w:tab w:val="left" w:pos="-2410" w:leader="none"/>
          <w:tab w:val="left" w:pos="1560" w:leader="none"/>
        </w:tabs>
        <w:ind w:left="426" w:hanging="0"/>
        <w:jc w:val="both"/>
        <w:rPr>
          <w:bCs/>
        </w:rPr>
      </w:pPr>
      <w:r>
        <w:rPr>
          <w:bCs/>
        </w:rPr>
        <w:t>Die Flächen zwischen den o.g. Einfriedungen und den Verkehrsflächen sind wasserdurchlässig zu gestalten und von Einbauten oder Hindernissen freizuhalten (Notüberfahrbarkeit).</w:t>
      </w:r>
    </w:p>
    <w:p>
      <w:pPr>
        <w:pStyle w:val="Berschrift1"/>
        <w:rPr>
          <w:sz w:val="24"/>
          <w:szCs w:val="24"/>
          <w:u w:val="single"/>
        </w:rPr>
      </w:pPr>
      <w:r>
        <w:rPr>
          <w:sz w:val="24"/>
          <w:szCs w:val="24"/>
        </w:rPr>
        <w:t>III</w:t>
        <w:tab/>
        <w:t>NACHRICHTLICHE ÜBERNAHMEN (§ 9 Abs. 6 BauGB)</w:t>
      </w:r>
    </w:p>
    <w:p>
      <w:pPr>
        <w:pStyle w:val="Berschrift2"/>
        <w:rPr/>
      </w:pPr>
      <w:r>
        <w:rPr/>
        <w:t>1.</w:t>
        <w:tab/>
        <w:t>Archäologischer Denkmalschutz</w:t>
      </w:r>
    </w:p>
    <w:p>
      <w:pPr>
        <w:pStyle w:val="Normal"/>
        <w:widowControl/>
        <w:tabs>
          <w:tab w:val="clear" w:pos="709"/>
          <w:tab w:val="left" w:pos="426" w:leader="none"/>
          <w:tab w:val="left" w:pos="1020" w:leader="none"/>
        </w:tabs>
        <w:ind w:left="426" w:hanging="0"/>
        <w:jc w:val="both"/>
        <w:rPr/>
      </w:pPr>
      <w:r>
        <w:rPr/>
        <w:t>Der Geltungsbereich befindet sich innerhalb einer archäologisch relevanten Altsiedellandschaft. Bodeneingriffe (Erd- und Bauarbeiten) in den durch den Bergbau nicht aufgeschütteten Bereichen bedürfen gemäß § 14 Abs.1 SächsDSchG der denkmalschutzrechtlichen Genehmigung. Das Landesamt für Archäologie ist vom Baubeginn rechtzeitig vorher zu informieren. Die Meldepflicht von Funden gemäß § 20 Abs. 1 und 2 SächsDSchG ist zu gewährleisten. Funde sind unverzüglich der unteren Denkmalschutzbehörde des Landratsamtes Nordsachsen oder dem Landesamt für Archäologie anzuzeigen. Der Fund und die Fundstelle sind bis zum Ablauf des vierten Tages nach der Anzeige in unverändertem Zustand zu erhalten und zu sichern.</w:t>
      </w:r>
    </w:p>
    <w:p>
      <w:pPr>
        <w:pStyle w:val="Berschrift1"/>
        <w:widowControl/>
        <w:tabs>
          <w:tab w:val="clear" w:pos="5387"/>
          <w:tab w:val="clear" w:pos="7513"/>
          <w:tab w:val="clear" w:pos="9072"/>
          <w:tab w:val="left" w:pos="567" w:leader="none"/>
          <w:tab w:val="left" w:pos="1020" w:leader="none"/>
        </w:tabs>
        <w:rPr>
          <w:sz w:val="24"/>
          <w:szCs w:val="24"/>
        </w:rPr>
      </w:pPr>
      <w:r>
        <w:rPr>
          <w:sz w:val="24"/>
          <w:szCs w:val="24"/>
        </w:rPr>
        <w:t xml:space="preserve">IV. </w:t>
        <w:tab/>
        <w:t>HINWEISE</w:t>
      </w:r>
    </w:p>
    <w:p>
      <w:pPr>
        <w:pStyle w:val="Berschrift2"/>
        <w:rPr/>
      </w:pPr>
      <w:r>
        <w:rPr/>
        <w:t>1.</w:t>
        <w:tab/>
        <w:t xml:space="preserve">Anzupflanzende Bäume und Sträucher </w:t>
      </w:r>
    </w:p>
    <w:p>
      <w:pPr>
        <w:pStyle w:val="BodyTextIndent2"/>
        <w:widowControl/>
        <w:tabs>
          <w:tab w:val="left" w:pos="567" w:leader="none"/>
          <w:tab w:val="left" w:pos="1020" w:leader="none"/>
        </w:tabs>
        <w:rPr>
          <w:bCs/>
        </w:rPr>
      </w:pPr>
      <w:r>
        <w:rPr>
          <w:bCs/>
        </w:rPr>
        <w:tab/>
        <w:t>Die Anpflanzungen sind vorzugsweise entsprechend der nachfolgenden Liste vorzunehmen:</w:t>
      </w:r>
    </w:p>
    <w:p>
      <w:pPr>
        <w:pStyle w:val="BodyTextIndent2"/>
        <w:widowControl/>
        <w:tabs>
          <w:tab w:val="left" w:pos="567" w:leader="none"/>
          <w:tab w:val="left" w:pos="1020" w:leader="none"/>
        </w:tabs>
        <w:rPr>
          <w:bCs/>
        </w:rPr>
      </w:pPr>
      <w:r>
        <w:rPr>
          <w:bCs/>
        </w:rPr>
      </w:r>
    </w:p>
    <w:p>
      <w:pPr>
        <w:pStyle w:val="BodyTextIndent2"/>
        <w:widowControl/>
        <w:tabs>
          <w:tab w:val="left" w:pos="567" w:leader="none"/>
          <w:tab w:val="left" w:pos="1020" w:leader="none"/>
        </w:tabs>
        <w:ind w:left="426" w:hanging="0"/>
        <w:rPr>
          <w:bCs/>
        </w:rPr>
      </w:pPr>
      <w:r>
        <w:rPr>
          <w:bCs/>
        </w:rPr>
        <w:t>Obstbäume, Stieleiche, Hainbuche, Eberesche, Winterlinde, Sommerlinde, Sand-Birke, Traubenkirsche, Schlehe, Heckenrose, Holunder, Brombeere, Eingriffliger Weißdorn, Zweigriffliger Weißdorn, Gewöhnlicher Hartriegel, Roter Hartriegel, Ohr-Weide, Salweide, Sanddorn, Purpurweide, Rote Heckenkirsche, Faulbaum, Haselnuss</w:t>
      </w:r>
    </w:p>
    <w:p>
      <w:pPr>
        <w:pStyle w:val="Berschrift2"/>
        <w:rPr/>
      </w:pPr>
      <w:r>
        <w:rPr/>
        <w:t>2.</w:t>
        <w:tab/>
        <w:t>Verkehrslandeplatz</w:t>
      </w:r>
    </w:p>
    <w:p>
      <w:pPr>
        <w:pStyle w:val="Normal"/>
        <w:widowControl/>
        <w:tabs>
          <w:tab w:val="clear" w:pos="709"/>
          <w:tab w:val="left" w:pos="426" w:leader="none"/>
          <w:tab w:val="left" w:pos="1020" w:leader="none"/>
        </w:tabs>
        <w:ind w:left="426" w:hanging="0"/>
        <w:jc w:val="both"/>
        <w:rPr/>
      </w:pPr>
      <w:r>
        <w:rPr/>
        <w:t xml:space="preserve">In unmittelbarer Nähe des Plangebietes befindet sich der Verkehrslandeplatz Roitzschjora. Damit verbundene Lärmbelastungen können nicht ausgeschlossen werden. </w:t>
      </w:r>
      <w:bookmarkStart w:id="1" w:name="_Hlk82353025"/>
      <w:bookmarkEnd w:id="1"/>
    </w:p>
    <w:p>
      <w:pPr>
        <w:pStyle w:val="Normal"/>
        <w:widowControl/>
        <w:tabs>
          <w:tab w:val="clear" w:pos="709"/>
          <w:tab w:val="left" w:pos="567" w:leader="none"/>
          <w:tab w:val="left" w:pos="1020" w:leader="none"/>
        </w:tabs>
        <w:ind w:left="426" w:hanging="426"/>
        <w:jc w:val="both"/>
        <w:rPr>
          <w:b/>
          <w:b/>
          <w:u w:val="single"/>
        </w:rPr>
      </w:pPr>
      <w:r>
        <w:rPr>
          <w:b/>
          <w:u w:val="single"/>
        </w:rPr>
      </w:r>
    </w:p>
    <w:p>
      <w:pPr>
        <w:pStyle w:val="Berschrift2"/>
        <w:rPr/>
      </w:pPr>
      <w:r>
        <w:rPr/>
        <w:t>3.</w:t>
        <w:tab/>
        <w:t>Geruchsimmissionen</w:t>
      </w:r>
    </w:p>
    <w:p>
      <w:pPr>
        <w:pStyle w:val="Normal"/>
        <w:widowControl/>
        <w:tabs>
          <w:tab w:val="clear" w:pos="709"/>
          <w:tab w:val="left" w:pos="426" w:leader="none"/>
          <w:tab w:val="left" w:pos="1020" w:leader="none"/>
        </w:tabs>
        <w:ind w:left="426" w:hanging="0"/>
        <w:jc w:val="both"/>
        <w:rPr/>
      </w:pPr>
      <w:r>
        <w:rPr/>
        <w:t xml:space="preserve">Nordwestlich des Plangebietes befindet sich eine Schweinemast- und Biogasanlage. Damit verbundene Geruchsimmissionen können nicht ausgeschlossen werden. </w:t>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Berschrift2"/>
        <w:rPr/>
      </w:pPr>
      <w:r>
        <w:rPr/>
        <w:t>4.</w:t>
        <w:tab/>
        <w:t>Geräuschimmissionen</w:t>
      </w:r>
    </w:p>
    <w:p>
      <w:pPr>
        <w:pStyle w:val="Normal"/>
        <w:widowControl/>
        <w:tabs>
          <w:tab w:val="clear" w:pos="709"/>
          <w:tab w:val="left" w:pos="426" w:leader="none"/>
          <w:tab w:val="left" w:pos="1020" w:leader="none"/>
        </w:tabs>
        <w:ind w:left="426" w:hanging="0"/>
        <w:jc w:val="both"/>
        <w:rPr/>
      </w:pPr>
      <w:r>
        <w:rPr/>
        <w:t xml:space="preserve">In der Umgebung des Plangebietes befinden sich mehrere Gewerbebetriebe. Damit verbundene Geräuschimmissionen können nicht ausgeschlossen werden. </w:t>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ind w:left="793" w:hanging="793"/>
        <w:jc w:val="both"/>
        <w:rPr/>
      </w:pPr>
      <w:r>
        <w:rPr/>
        <w:t>Ludwigshafen, den 01.12.2021</w:t>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widowControl/>
        <w:tabs>
          <w:tab w:val="clear" w:pos="709"/>
          <w:tab w:val="left" w:pos="567" w:leader="none"/>
          <w:tab w:val="left" w:pos="1020" w:leader="none"/>
        </w:tabs>
        <w:ind w:left="426" w:hanging="426"/>
        <w:jc w:val="both"/>
        <w:rPr>
          <w:b/>
          <w:b/>
          <w:u w:val="single"/>
        </w:rPr>
      </w:pPr>
      <w:r>
        <w:rPr>
          <w:b/>
          <w:u w:val="single"/>
        </w:rPr>
      </w:r>
    </w:p>
    <w:p>
      <w:pPr>
        <w:pStyle w:val="Normal"/>
        <w:ind w:left="793" w:hanging="793"/>
        <w:jc w:val="both"/>
        <w:rPr/>
      </w:pPr>
      <w:r>
        <w:rPr>
          <w:b/>
        </w:rPr>
        <w:t>KLAUS NACHTRIEB</w:t>
      </w:r>
    </w:p>
    <w:p>
      <w:pPr>
        <w:pStyle w:val="Normal"/>
        <w:ind w:left="793" w:hanging="793"/>
        <w:jc w:val="both"/>
        <w:rPr>
          <w:sz w:val="16"/>
          <w:szCs w:val="16"/>
        </w:rPr>
      </w:pPr>
      <w:r>
        <w:rPr>
          <w:sz w:val="16"/>
          <w:szCs w:val="16"/>
        </w:rPr>
        <w:t>Städtebau . Umweltplanung</w:t>
      </w:r>
    </w:p>
    <w:sectPr>
      <w:headerReference w:type="default" r:id="rId2"/>
      <w:footerReference w:type="default" r:id="rId3"/>
      <w:type w:val="nextPage"/>
      <w:pgSz w:w="11906" w:h="16838"/>
      <w:pgMar w:left="1418" w:right="1417" w:header="720" w:top="1418"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9072" w:leader="none"/>
      </w:tabs>
      <w:jc w:val="both"/>
      <w:rPr>
        <w:sz w:val="16"/>
      </w:rPr>
    </w:pPr>
    <w:r>
      <w:rPr>
        <w:sz w:val="14"/>
      </w:rPr>
      <w:t xml:space="preserve">KLAUS NACHTRIEB Städtebau.Umweltplanung </w:t>
      <w:tab/>
    </w:r>
    <w:r>
      <w:rPr>
        <w:sz w:val="14"/>
      </w:rPr>
      <w:fldChar w:fldCharType="begin"/>
    </w:r>
    <w:r>
      <w:rPr>
        <w:sz w:val="14"/>
      </w:rPr>
      <w:instrText> FILENAME </w:instrText>
    </w:r>
    <w:r>
      <w:rPr>
        <w:sz w:val="14"/>
      </w:rPr>
      <w:fldChar w:fldCharType="separate"/>
    </w:r>
    <w:r>
      <w:rPr>
        <w:sz w:val="14"/>
      </w:rPr>
      <w:t>2021-12-01_LÖ_Erweiterung TF (1).DOCX</w:t>
    </w:r>
    <w:r>
      <w:rPr>
        <w:sz w:val="1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widowControl/>
      <w:tabs>
        <w:tab w:val="clear" w:pos="4536"/>
        <w:tab w:val="center" w:pos="8080" w:leader="none"/>
        <w:tab w:val="right" w:pos="9072" w:leader="none"/>
      </w:tabs>
      <w:rPr>
        <w:sz w:val="14"/>
      </w:rPr>
    </w:pPr>
    <w:r>
      <w:rPr>
        <w:sz w:val="14"/>
      </w:rPr>
      <w:t xml:space="preserve">Bebauungsplan und örtliche Bauvorschriften Nr. 7  "Wochenend- und Ferienhausgebiet Mühlfeldsee - 1. Änderung und Erweiterung" </w:t>
      <w:tab/>
      <w:tab/>
      <w:t xml:space="preserve">Seite </w:t>
    </w:r>
    <w:r>
      <w:rPr>
        <w:rStyle w:val="Pagenumber"/>
        <w:sz w:val="14"/>
      </w:rPr>
      <w:fldChar w:fldCharType="begin"/>
    </w:r>
    <w:r>
      <w:rPr>
        <w:rStyle w:val="Pagenumber"/>
        <w:sz w:val="14"/>
      </w:rPr>
      <w:instrText> PAGE </w:instrText>
    </w:r>
    <w:r>
      <w:rPr>
        <w:rStyle w:val="Pagenumber"/>
        <w:sz w:val="14"/>
      </w:rPr>
      <w:fldChar w:fldCharType="separate"/>
    </w:r>
    <w:r>
      <w:rPr>
        <w:rStyle w:val="Pagenumber"/>
        <w:sz w:val="14"/>
      </w:rPr>
      <w:t>5</w:t>
    </w:r>
    <w:r>
      <w:rPr>
        <w:rStyle w:val="Pagenumber"/>
        <w:sz w:val="14"/>
      </w:rPr>
      <w:fldChar w:fldCharType="end"/>
    </w:r>
    <w:r>
      <w:rPr>
        <w:rStyle w:val="Pagenumber"/>
        <w:sz w:val="14"/>
      </w:rPr>
      <w:t>/</w:t>
    </w:r>
    <w:r>
      <w:rPr>
        <w:sz w:val="14"/>
      </w:rPr>
      <w:fldChar w:fldCharType="begin"/>
    </w:r>
    <w:r>
      <w:rPr>
        <w:sz w:val="14"/>
      </w:rPr>
      <w:instrText> NUMPAGES </w:instrText>
    </w:r>
    <w:r>
      <w:rPr>
        <w:sz w:val="14"/>
      </w:rPr>
      <w:fldChar w:fldCharType="separate"/>
    </w:r>
    <w:r>
      <w:rPr>
        <w:sz w:val="14"/>
      </w:rPr>
      <w:t>5</w:t>
    </w:r>
    <w:r>
      <w:rPr>
        <w:sz w:val="14"/>
      </w:rPr>
      <w:fldChar w:fldCharType="end"/>
    </w:r>
  </w:p>
  <w:p>
    <w:pPr>
      <w:pStyle w:val="Kopfzeile"/>
      <w:widowControl/>
      <w:tabs>
        <w:tab w:val="clear" w:pos="4536"/>
        <w:tab w:val="left" w:pos="5670" w:leader="none"/>
        <w:tab w:val="center" w:pos="6521" w:leader="none"/>
        <w:tab w:val="right" w:pos="9072" w:leader="none"/>
      </w:tabs>
      <w:rPr>
        <w:sz w:val="14"/>
      </w:rPr>
    </w:pPr>
    <w:r>
      <w:rPr>
        <w:sz w:val="14"/>
      </w:rPr>
      <w:t>Textliche Festsetzungen vom  01.12.2021</w:t>
    </w:r>
  </w:p>
  <w:p>
    <w:pPr>
      <w:pStyle w:val="Kopfzeile"/>
      <w:widowControl/>
      <w:pBdr>
        <w:bottom w:val="single" w:sz="6" w:space="1" w:color="000000"/>
      </w:pBdr>
      <w:tabs>
        <w:tab w:val="clear" w:pos="4536"/>
        <w:tab w:val="left" w:pos="5670" w:leader="none"/>
        <w:tab w:val="center" w:pos="7230" w:leader="none"/>
        <w:tab w:val="right" w:pos="9072" w:leader="none"/>
      </w:tabs>
      <w:rPr>
        <w:sz w:val="14"/>
      </w:rPr>
    </w:pPr>
    <w:r>
      <w:rPr>
        <w:sz w:val="1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48" w:hanging="360"/>
      </w:pPr>
      <w:rPr>
        <w:rFonts w:ascii="Symbol" w:hAnsi="Symbol" w:cs="Symbol" w:hint="default"/>
      </w:rPr>
    </w:lvl>
    <w:lvl w:ilvl="1">
      <w:start w:val="1"/>
      <w:numFmt w:val="bullet"/>
      <w:lvlText w:val="o"/>
      <w:lvlJc w:val="left"/>
      <w:pPr>
        <w:tabs>
          <w:tab w:val="num" w:pos="0"/>
        </w:tabs>
        <w:ind w:left="1868" w:hanging="360"/>
      </w:pPr>
      <w:rPr>
        <w:rFonts w:ascii="Courier New" w:hAnsi="Courier New" w:cs="Courier New" w:hint="default"/>
      </w:rPr>
    </w:lvl>
    <w:lvl w:ilvl="2">
      <w:start w:val="1"/>
      <w:numFmt w:val="bullet"/>
      <w:lvlText w:val=""/>
      <w:lvlJc w:val="left"/>
      <w:pPr>
        <w:tabs>
          <w:tab w:val="num" w:pos="0"/>
        </w:tabs>
        <w:ind w:left="2588" w:hanging="360"/>
      </w:pPr>
      <w:rPr>
        <w:rFonts w:ascii="Wingdings" w:hAnsi="Wingdings" w:cs="Wingdings" w:hint="default"/>
      </w:rPr>
    </w:lvl>
    <w:lvl w:ilvl="3">
      <w:start w:val="1"/>
      <w:numFmt w:val="bullet"/>
      <w:lvlText w:val=""/>
      <w:lvlJc w:val="left"/>
      <w:pPr>
        <w:tabs>
          <w:tab w:val="num" w:pos="0"/>
        </w:tabs>
        <w:ind w:left="3308" w:hanging="360"/>
      </w:pPr>
      <w:rPr>
        <w:rFonts w:ascii="Symbol" w:hAnsi="Symbol" w:cs="Symbol" w:hint="default"/>
      </w:rPr>
    </w:lvl>
    <w:lvl w:ilvl="4">
      <w:start w:val="1"/>
      <w:numFmt w:val="bullet"/>
      <w:lvlText w:val="o"/>
      <w:lvlJc w:val="left"/>
      <w:pPr>
        <w:tabs>
          <w:tab w:val="num" w:pos="0"/>
        </w:tabs>
        <w:ind w:left="4028" w:hanging="360"/>
      </w:pPr>
      <w:rPr>
        <w:rFonts w:ascii="Courier New" w:hAnsi="Courier New" w:cs="Courier New" w:hint="default"/>
      </w:rPr>
    </w:lvl>
    <w:lvl w:ilvl="5">
      <w:start w:val="1"/>
      <w:numFmt w:val="bullet"/>
      <w:lvlText w:val=""/>
      <w:lvlJc w:val="left"/>
      <w:pPr>
        <w:tabs>
          <w:tab w:val="num" w:pos="0"/>
        </w:tabs>
        <w:ind w:left="4748" w:hanging="360"/>
      </w:pPr>
      <w:rPr>
        <w:rFonts w:ascii="Wingdings" w:hAnsi="Wingdings" w:cs="Wingdings" w:hint="default"/>
      </w:rPr>
    </w:lvl>
    <w:lvl w:ilvl="6">
      <w:start w:val="1"/>
      <w:numFmt w:val="bullet"/>
      <w:lvlText w:val=""/>
      <w:lvlJc w:val="left"/>
      <w:pPr>
        <w:tabs>
          <w:tab w:val="num" w:pos="0"/>
        </w:tabs>
        <w:ind w:left="5468" w:hanging="360"/>
      </w:pPr>
      <w:rPr>
        <w:rFonts w:ascii="Symbol" w:hAnsi="Symbol" w:cs="Symbol" w:hint="default"/>
      </w:rPr>
    </w:lvl>
    <w:lvl w:ilvl="7">
      <w:start w:val="1"/>
      <w:numFmt w:val="bullet"/>
      <w:lvlText w:val="o"/>
      <w:lvlJc w:val="left"/>
      <w:pPr>
        <w:tabs>
          <w:tab w:val="num" w:pos="0"/>
        </w:tabs>
        <w:ind w:left="6188" w:hanging="360"/>
      </w:pPr>
      <w:rPr>
        <w:rFonts w:ascii="Courier New" w:hAnsi="Courier New" w:cs="Courier New" w:hint="default"/>
      </w:rPr>
    </w:lvl>
    <w:lvl w:ilvl="8">
      <w:start w:val="1"/>
      <w:numFmt w:val="bullet"/>
      <w:lvlText w:val=""/>
      <w:lvlJc w:val="left"/>
      <w:pPr>
        <w:tabs>
          <w:tab w:val="num" w:pos="0"/>
        </w:tabs>
        <w:ind w:left="6908" w:hanging="360"/>
      </w:pPr>
      <w:rPr>
        <w:rFonts w:ascii="Wingdings" w:hAnsi="Wingdings" w:cs="Wingdings" w:hint="default"/>
      </w:rPr>
    </w:lvl>
  </w:abstractNum>
  <w:abstractNum w:abstractNumId="2">
    <w:lvl w:ilvl="0">
      <w:start w:val="1"/>
      <w:numFmt w:val="bullet"/>
      <w:lvlText w:val=""/>
      <w:lvlJc w:val="left"/>
      <w:pPr>
        <w:tabs>
          <w:tab w:val="num" w:pos="0"/>
        </w:tabs>
        <w:ind w:left="1431" w:hanging="360"/>
      </w:pPr>
      <w:rPr>
        <w:rFonts w:ascii="Symbol" w:hAnsi="Symbol" w:cs="Symbol" w:hint="default"/>
      </w:rPr>
    </w:lvl>
    <w:lvl w:ilvl="1">
      <w:start w:val="1"/>
      <w:numFmt w:val="bullet"/>
      <w:lvlText w:val="o"/>
      <w:lvlJc w:val="left"/>
      <w:pPr>
        <w:tabs>
          <w:tab w:val="num" w:pos="0"/>
        </w:tabs>
        <w:ind w:left="2151" w:hanging="360"/>
      </w:pPr>
      <w:rPr>
        <w:rFonts w:ascii="Courier New" w:hAnsi="Courier New" w:cs="Courier New" w:hint="default"/>
      </w:rPr>
    </w:lvl>
    <w:lvl w:ilvl="2">
      <w:start w:val="1"/>
      <w:numFmt w:val="bullet"/>
      <w:lvlText w:val=""/>
      <w:lvlJc w:val="left"/>
      <w:pPr>
        <w:tabs>
          <w:tab w:val="num" w:pos="0"/>
        </w:tabs>
        <w:ind w:left="2871" w:hanging="360"/>
      </w:pPr>
      <w:rPr>
        <w:rFonts w:ascii="Wingdings" w:hAnsi="Wingdings" w:cs="Wingdings" w:hint="default"/>
      </w:rPr>
    </w:lvl>
    <w:lvl w:ilvl="3">
      <w:start w:val="1"/>
      <w:numFmt w:val="bullet"/>
      <w:lvlText w:val=""/>
      <w:lvlJc w:val="left"/>
      <w:pPr>
        <w:tabs>
          <w:tab w:val="num" w:pos="0"/>
        </w:tabs>
        <w:ind w:left="3591" w:hanging="360"/>
      </w:pPr>
      <w:rPr>
        <w:rFonts w:ascii="Symbol" w:hAnsi="Symbol" w:cs="Symbol" w:hint="default"/>
      </w:rPr>
    </w:lvl>
    <w:lvl w:ilvl="4">
      <w:start w:val="1"/>
      <w:numFmt w:val="bullet"/>
      <w:lvlText w:val="o"/>
      <w:lvlJc w:val="left"/>
      <w:pPr>
        <w:tabs>
          <w:tab w:val="num" w:pos="0"/>
        </w:tabs>
        <w:ind w:left="4311" w:hanging="360"/>
      </w:pPr>
      <w:rPr>
        <w:rFonts w:ascii="Courier New" w:hAnsi="Courier New" w:cs="Courier New" w:hint="default"/>
      </w:rPr>
    </w:lvl>
    <w:lvl w:ilvl="5">
      <w:start w:val="1"/>
      <w:numFmt w:val="bullet"/>
      <w:lvlText w:val=""/>
      <w:lvlJc w:val="left"/>
      <w:pPr>
        <w:tabs>
          <w:tab w:val="num" w:pos="0"/>
        </w:tabs>
        <w:ind w:left="5031" w:hanging="360"/>
      </w:pPr>
      <w:rPr>
        <w:rFonts w:ascii="Wingdings" w:hAnsi="Wingdings" w:cs="Wingdings" w:hint="default"/>
      </w:rPr>
    </w:lvl>
    <w:lvl w:ilvl="6">
      <w:start w:val="1"/>
      <w:numFmt w:val="bullet"/>
      <w:lvlText w:val=""/>
      <w:lvlJc w:val="left"/>
      <w:pPr>
        <w:tabs>
          <w:tab w:val="num" w:pos="0"/>
        </w:tabs>
        <w:ind w:left="5751" w:hanging="360"/>
      </w:pPr>
      <w:rPr>
        <w:rFonts w:ascii="Symbol" w:hAnsi="Symbol" w:cs="Symbol" w:hint="default"/>
      </w:rPr>
    </w:lvl>
    <w:lvl w:ilvl="7">
      <w:start w:val="1"/>
      <w:numFmt w:val="bullet"/>
      <w:lvlText w:val="o"/>
      <w:lvlJc w:val="left"/>
      <w:pPr>
        <w:tabs>
          <w:tab w:val="num" w:pos="0"/>
        </w:tabs>
        <w:ind w:left="6471" w:hanging="360"/>
      </w:pPr>
      <w:rPr>
        <w:rFonts w:ascii="Courier New" w:hAnsi="Courier New" w:cs="Courier New" w:hint="default"/>
      </w:rPr>
    </w:lvl>
    <w:lvl w:ilvl="8">
      <w:start w:val="1"/>
      <w:numFmt w:val="bullet"/>
      <w:lvlText w:val=""/>
      <w:lvlJc w:val="left"/>
      <w:pPr>
        <w:tabs>
          <w:tab w:val="num" w:pos="0"/>
        </w:tabs>
        <w:ind w:left="7191" w:hanging="360"/>
      </w:pPr>
      <w:rPr>
        <w:rFonts w:ascii="Wingdings" w:hAnsi="Wingdings" w:cs="Wingdings" w:hint="default"/>
      </w:rPr>
    </w:lvl>
  </w:abstractNum>
  <w:abstractNum w:abstractNumId="3">
    <w:lvl w:ilvl="0">
      <w:start w:val="1"/>
      <w:numFmt w:val="bullet"/>
      <w:lvlText w:val=""/>
      <w:lvlJc w:val="left"/>
      <w:pPr>
        <w:tabs>
          <w:tab w:val="num" w:pos="0"/>
        </w:tabs>
        <w:ind w:left="2142" w:hanging="360"/>
      </w:pPr>
      <w:rPr>
        <w:rFonts w:ascii="Symbol" w:hAnsi="Symbol" w:cs="Symbol" w:hint="default"/>
      </w:rPr>
    </w:lvl>
    <w:lvl w:ilvl="1">
      <w:start w:val="1"/>
      <w:numFmt w:val="bullet"/>
      <w:lvlText w:val="o"/>
      <w:lvlJc w:val="left"/>
      <w:pPr>
        <w:tabs>
          <w:tab w:val="num" w:pos="0"/>
        </w:tabs>
        <w:ind w:left="2862" w:hanging="360"/>
      </w:pPr>
      <w:rPr>
        <w:rFonts w:ascii="Courier New" w:hAnsi="Courier New" w:cs="Courier New" w:hint="default"/>
      </w:rPr>
    </w:lvl>
    <w:lvl w:ilvl="2">
      <w:start w:val="1"/>
      <w:numFmt w:val="bullet"/>
      <w:lvlText w:val=""/>
      <w:lvlJc w:val="left"/>
      <w:pPr>
        <w:tabs>
          <w:tab w:val="num" w:pos="0"/>
        </w:tabs>
        <w:ind w:left="3582" w:hanging="360"/>
      </w:pPr>
      <w:rPr>
        <w:rFonts w:ascii="Wingdings" w:hAnsi="Wingdings" w:cs="Wingdings" w:hint="default"/>
      </w:rPr>
    </w:lvl>
    <w:lvl w:ilvl="3">
      <w:start w:val="1"/>
      <w:numFmt w:val="bullet"/>
      <w:lvlText w:val=""/>
      <w:lvlJc w:val="left"/>
      <w:pPr>
        <w:tabs>
          <w:tab w:val="num" w:pos="0"/>
        </w:tabs>
        <w:ind w:left="4302" w:hanging="360"/>
      </w:pPr>
      <w:rPr>
        <w:rFonts w:ascii="Symbol" w:hAnsi="Symbol" w:cs="Symbol" w:hint="default"/>
      </w:rPr>
    </w:lvl>
    <w:lvl w:ilvl="4">
      <w:start w:val="1"/>
      <w:numFmt w:val="bullet"/>
      <w:lvlText w:val="o"/>
      <w:lvlJc w:val="left"/>
      <w:pPr>
        <w:tabs>
          <w:tab w:val="num" w:pos="0"/>
        </w:tabs>
        <w:ind w:left="5022" w:hanging="360"/>
      </w:pPr>
      <w:rPr>
        <w:rFonts w:ascii="Courier New" w:hAnsi="Courier New" w:cs="Courier New" w:hint="default"/>
      </w:rPr>
    </w:lvl>
    <w:lvl w:ilvl="5">
      <w:start w:val="1"/>
      <w:numFmt w:val="bullet"/>
      <w:lvlText w:val=""/>
      <w:lvlJc w:val="left"/>
      <w:pPr>
        <w:tabs>
          <w:tab w:val="num" w:pos="0"/>
        </w:tabs>
        <w:ind w:left="5742" w:hanging="360"/>
      </w:pPr>
      <w:rPr>
        <w:rFonts w:ascii="Wingdings" w:hAnsi="Wingdings" w:cs="Wingdings" w:hint="default"/>
      </w:rPr>
    </w:lvl>
    <w:lvl w:ilvl="6">
      <w:start w:val="1"/>
      <w:numFmt w:val="bullet"/>
      <w:lvlText w:val=""/>
      <w:lvlJc w:val="left"/>
      <w:pPr>
        <w:tabs>
          <w:tab w:val="num" w:pos="0"/>
        </w:tabs>
        <w:ind w:left="6462" w:hanging="360"/>
      </w:pPr>
      <w:rPr>
        <w:rFonts w:ascii="Symbol" w:hAnsi="Symbol" w:cs="Symbol" w:hint="default"/>
      </w:rPr>
    </w:lvl>
    <w:lvl w:ilvl="7">
      <w:start w:val="1"/>
      <w:numFmt w:val="bullet"/>
      <w:lvlText w:val="o"/>
      <w:lvlJc w:val="left"/>
      <w:pPr>
        <w:tabs>
          <w:tab w:val="num" w:pos="0"/>
        </w:tabs>
        <w:ind w:left="7182" w:hanging="360"/>
      </w:pPr>
      <w:rPr>
        <w:rFonts w:ascii="Courier New" w:hAnsi="Courier New" w:cs="Courier New" w:hint="default"/>
      </w:rPr>
    </w:lvl>
    <w:lvl w:ilvl="8">
      <w:start w:val="1"/>
      <w:numFmt w:val="bullet"/>
      <w:lvlText w:val=""/>
      <w:lvlJc w:val="left"/>
      <w:pPr>
        <w:tabs>
          <w:tab w:val="num" w:pos="0"/>
        </w:tabs>
        <w:ind w:left="7902"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386f"/>
    <w:pPr>
      <w:widowControl w:val="false"/>
      <w:suppressAutoHyphens w:val="false"/>
      <w:bidi w:val="0"/>
      <w:spacing w:before="0" w:after="0"/>
      <w:jc w:val="left"/>
    </w:pPr>
    <w:rPr>
      <w:rFonts w:ascii="Arial" w:hAnsi="Arial" w:eastAsia="Times New Roman" w:cs="Times New Roman"/>
      <w:color w:val="auto"/>
      <w:kern w:val="0"/>
      <w:sz w:val="20"/>
      <w:szCs w:val="20"/>
      <w:lang w:val="de-DE" w:eastAsia="de-DE" w:bidi="ar-SA"/>
    </w:rPr>
  </w:style>
  <w:style w:type="paragraph" w:styleId="Berschrift1">
    <w:name w:val="Heading 1"/>
    <w:basedOn w:val="Normal"/>
    <w:next w:val="Normal"/>
    <w:qFormat/>
    <w:rsid w:val="00ff3a57"/>
    <w:pPr>
      <w:keepNext w:val="true"/>
      <w:tabs>
        <w:tab w:val="clear" w:pos="709"/>
        <w:tab w:val="left" w:pos="5387" w:leader="none"/>
        <w:tab w:val="left" w:pos="7513" w:leader="none"/>
        <w:tab w:val="right" w:pos="9072" w:leader="none"/>
      </w:tabs>
      <w:spacing w:before="400" w:after="0"/>
      <w:ind w:left="425" w:hanging="425"/>
      <w:jc w:val="both"/>
      <w:outlineLvl w:val="0"/>
    </w:pPr>
    <w:rPr>
      <w:b/>
      <w:sz w:val="22"/>
    </w:rPr>
  </w:style>
  <w:style w:type="paragraph" w:styleId="Berschrift2">
    <w:name w:val="Heading 2"/>
    <w:basedOn w:val="Normal"/>
    <w:next w:val="Normal"/>
    <w:qFormat/>
    <w:rsid w:val="005a500b"/>
    <w:pPr>
      <w:keepNext w:val="true"/>
      <w:widowControl/>
      <w:tabs>
        <w:tab w:val="clear" w:pos="709"/>
        <w:tab w:val="left" w:pos="567" w:leader="none"/>
      </w:tabs>
      <w:spacing w:before="360" w:after="160"/>
      <w:ind w:left="425" w:hanging="425"/>
      <w:jc w:val="both"/>
      <w:outlineLvl w:val="1"/>
    </w:pPr>
    <w:rPr>
      <w:b/>
      <w:bCs/>
    </w:rPr>
  </w:style>
  <w:style w:type="paragraph" w:styleId="Berschrift3">
    <w:name w:val="Heading 3"/>
    <w:basedOn w:val="Normal"/>
    <w:next w:val="Normal"/>
    <w:qFormat/>
    <w:rsid w:val="009a6478"/>
    <w:pPr>
      <w:keepNext w:val="true"/>
      <w:widowControl/>
      <w:spacing w:before="360" w:after="100"/>
      <w:ind w:left="425" w:hanging="425"/>
      <w:outlineLvl w:val="2"/>
    </w:pPr>
    <w:rPr>
      <w:b/>
    </w:rPr>
  </w:style>
  <w:style w:type="paragraph" w:styleId="Berschrift4">
    <w:name w:val="Heading 4"/>
    <w:basedOn w:val="Normal"/>
    <w:next w:val="Normal"/>
    <w:qFormat/>
    <w:rsid w:val="00623de6"/>
    <w:pPr>
      <w:keepNext w:val="true"/>
      <w:widowControl/>
      <w:outlineLvl w:val="3"/>
    </w:pPr>
    <w:rPr>
      <w:b/>
    </w:rPr>
  </w:style>
  <w:style w:type="paragraph" w:styleId="Berschrift5">
    <w:name w:val="Heading 5"/>
    <w:basedOn w:val="Normal"/>
    <w:next w:val="Normal"/>
    <w:qFormat/>
    <w:rsid w:val="00623de6"/>
    <w:pPr>
      <w:keepNext w:val="true"/>
      <w:ind w:left="793" w:hanging="793"/>
      <w:jc w:val="both"/>
      <w:outlineLvl w:val="4"/>
    </w:pPr>
    <w:rPr>
      <w:b/>
      <w:bCs/>
    </w:rPr>
  </w:style>
  <w:style w:type="paragraph" w:styleId="Berschrift9">
    <w:name w:val="Heading 9"/>
    <w:basedOn w:val="Normal"/>
    <w:next w:val="Normal"/>
    <w:qFormat/>
    <w:rsid w:val="00623de6"/>
    <w:pPr>
      <w:keepNext w:val="true"/>
      <w:widowControl/>
      <w:outlineLvl w:val="8"/>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23de6"/>
    <w:rPr/>
  </w:style>
  <w:style w:type="character" w:styleId="SprechblasentextZchn" w:customStyle="1">
    <w:name w:val="Sprechblasentext Zchn"/>
    <w:basedOn w:val="DefaultParagraphFont"/>
    <w:link w:val="Sprechblasentext"/>
    <w:uiPriority w:val="99"/>
    <w:semiHidden/>
    <w:qFormat/>
    <w:rsid w:val="00810c9a"/>
    <w:rPr>
      <w:rFonts w:ascii="Tahoma" w:hAnsi="Tahoma" w:cs="Tahoma"/>
      <w:sz w:val="16"/>
      <w:szCs w:val="16"/>
    </w:rPr>
  </w:style>
  <w:style w:type="character" w:styleId="Annotationreference">
    <w:name w:val="annotation reference"/>
    <w:basedOn w:val="DefaultParagraphFont"/>
    <w:uiPriority w:val="99"/>
    <w:semiHidden/>
    <w:unhideWhenUsed/>
    <w:qFormat/>
    <w:rsid w:val="00ed7440"/>
    <w:rPr>
      <w:sz w:val="16"/>
      <w:szCs w:val="16"/>
    </w:rPr>
  </w:style>
  <w:style w:type="character" w:styleId="KommentartextZchn" w:customStyle="1">
    <w:name w:val="Kommentartext Zchn"/>
    <w:basedOn w:val="DefaultParagraphFont"/>
    <w:link w:val="Kommentartext"/>
    <w:uiPriority w:val="99"/>
    <w:semiHidden/>
    <w:qFormat/>
    <w:rsid w:val="00ed7440"/>
    <w:rPr>
      <w:rFonts w:ascii="Arial" w:hAnsi="Arial"/>
    </w:rPr>
  </w:style>
  <w:style w:type="character" w:styleId="KommentarthemaZchn" w:customStyle="1">
    <w:name w:val="Kommentarthema Zchn"/>
    <w:basedOn w:val="KommentartextZchn"/>
    <w:link w:val="Kommentarthema"/>
    <w:uiPriority w:val="99"/>
    <w:semiHidden/>
    <w:qFormat/>
    <w:rsid w:val="00ed7440"/>
    <w:rPr>
      <w:rFonts w:ascii="Arial" w:hAnsi="Arial"/>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rsid w:val="00623de6"/>
    <w:pPr>
      <w:tabs>
        <w:tab w:val="clear" w:pos="709"/>
        <w:tab w:val="left" w:pos="567" w:leader="none"/>
      </w:tabs>
      <w:jc w:val="both"/>
    </w:pPr>
    <w:rPr>
      <w:i/>
    </w:rPr>
  </w:style>
  <w:style w:type="paragraph" w:styleId="Aufzhlung" w:customStyle="1">
    <w:name w:val="List"/>
    <w:basedOn w:val="Normal"/>
    <w:rsid w:val="00043f99"/>
    <w:pPr>
      <w:keepNext w:val="true"/>
      <w:tabs>
        <w:tab w:val="clear" w:pos="709"/>
        <w:tab w:val="left" w:pos="1494" w:leader="none"/>
      </w:tabs>
      <w:ind w:left="1494" w:hanging="360"/>
    </w:pPr>
    <w:rPr>
      <w:sz w:val="22"/>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rief" w:customStyle="1">
    <w:name w:val="Brief"/>
    <w:basedOn w:val="Normal"/>
    <w:qFormat/>
    <w:rsid w:val="00623de6"/>
    <w:pPr>
      <w:jc w:val="both"/>
    </w:pPr>
    <w:rPr/>
  </w:style>
  <w:style w:type="paragraph" w:styleId="KopfundFuzeile">
    <w:name w:val="Kopf- und Fußzeile"/>
    <w:basedOn w:val="Normal"/>
    <w:qFormat/>
    <w:pPr/>
    <w:rPr/>
  </w:style>
  <w:style w:type="paragraph" w:styleId="Kopfzeile">
    <w:name w:val="Header"/>
    <w:basedOn w:val="Normal"/>
    <w:rsid w:val="00623de6"/>
    <w:pPr>
      <w:tabs>
        <w:tab w:val="clear" w:pos="709"/>
        <w:tab w:val="center" w:pos="4536" w:leader="none"/>
        <w:tab w:val="right" w:pos="9072" w:leader="none"/>
      </w:tabs>
    </w:pPr>
    <w:rPr/>
  </w:style>
  <w:style w:type="paragraph" w:styleId="Fuzeile">
    <w:name w:val="Footer"/>
    <w:basedOn w:val="Normal"/>
    <w:rsid w:val="00623de6"/>
    <w:pPr>
      <w:tabs>
        <w:tab w:val="clear" w:pos="709"/>
        <w:tab w:val="center" w:pos="4536" w:leader="none"/>
        <w:tab w:val="right" w:pos="9072" w:leader="none"/>
      </w:tabs>
    </w:pPr>
    <w:rPr/>
  </w:style>
  <w:style w:type="paragraph" w:styleId="EinzugTextkrper">
    <w:name w:val="Body Text Indent"/>
    <w:basedOn w:val="Normal"/>
    <w:rsid w:val="00623de6"/>
    <w:pPr>
      <w:tabs>
        <w:tab w:val="clear" w:pos="709"/>
        <w:tab w:val="left" w:pos="426" w:leader="none"/>
      </w:tabs>
      <w:jc w:val="both"/>
    </w:pPr>
    <w:rPr/>
  </w:style>
  <w:style w:type="paragraph" w:styleId="BodyTextIndent2">
    <w:name w:val="Body Text Indent 2"/>
    <w:basedOn w:val="Normal"/>
    <w:qFormat/>
    <w:rsid w:val="00623de6"/>
    <w:pPr>
      <w:tabs>
        <w:tab w:val="clear" w:pos="709"/>
        <w:tab w:val="left" w:pos="567" w:leader="none"/>
      </w:tabs>
      <w:ind w:left="426" w:hanging="426"/>
      <w:jc w:val="both"/>
    </w:pPr>
    <w:rPr/>
  </w:style>
  <w:style w:type="paragraph" w:styleId="BodyTextIndent3">
    <w:name w:val="Body Text Indent 3"/>
    <w:basedOn w:val="Normal"/>
    <w:qFormat/>
    <w:rsid w:val="00623de6"/>
    <w:pPr>
      <w:tabs>
        <w:tab w:val="clear" w:pos="709"/>
        <w:tab w:val="left" w:pos="567" w:leader="none"/>
      </w:tabs>
      <w:ind w:left="426" w:hanging="426"/>
      <w:jc w:val="both"/>
    </w:pPr>
    <w:rPr>
      <w:b/>
      <w:u w:val="single"/>
    </w:rPr>
  </w:style>
  <w:style w:type="paragraph" w:styleId="BodyText2">
    <w:name w:val="Body Text 2"/>
    <w:basedOn w:val="Normal"/>
    <w:qFormat/>
    <w:rsid w:val="00623de6"/>
    <w:pPr>
      <w:widowControl/>
      <w:jc w:val="both"/>
    </w:pPr>
    <w:rPr/>
  </w:style>
  <w:style w:type="paragraph" w:styleId="BodyText3">
    <w:name w:val="Body Text 3"/>
    <w:basedOn w:val="Normal"/>
    <w:qFormat/>
    <w:rsid w:val="00623de6"/>
    <w:pPr>
      <w:widowControl/>
      <w:tabs>
        <w:tab w:val="clear" w:pos="709"/>
        <w:tab w:val="left" w:pos="0" w:leader="none"/>
      </w:tabs>
      <w:jc w:val="both"/>
    </w:pPr>
    <w:rPr/>
  </w:style>
  <w:style w:type="paragraph" w:styleId="TextkrperEinzug21" w:customStyle="1">
    <w:name w:val="Textkörper-Einzug 21"/>
    <w:basedOn w:val="Normal"/>
    <w:qFormat/>
    <w:rsid w:val="00623de6"/>
    <w:pPr>
      <w:widowControl/>
      <w:tabs>
        <w:tab w:val="left" w:pos="709" w:leader="none"/>
        <w:tab w:val="left" w:pos="992" w:leader="none"/>
      </w:tabs>
      <w:ind w:left="720" w:hanging="720"/>
      <w:jc w:val="both"/>
    </w:pPr>
    <w:rPr>
      <w:sz w:val="22"/>
    </w:rPr>
  </w:style>
  <w:style w:type="paragraph" w:styleId="NormalWeb">
    <w:name w:val="Normal (Web)"/>
    <w:basedOn w:val="Normal"/>
    <w:qFormat/>
    <w:rsid w:val="00623de6"/>
    <w:pPr>
      <w:widowControl/>
      <w:pBdr>
        <w:top w:val="single" w:sz="2" w:space="4" w:color="CCCCCC"/>
        <w:left w:val="single" w:sz="2" w:space="4" w:color="CCCCCC"/>
        <w:bottom w:val="single" w:sz="2" w:space="4" w:color="CCCCCC"/>
        <w:right w:val="single" w:sz="2" w:space="4" w:color="CCCCCC"/>
      </w:pBdr>
      <w:spacing w:before="225" w:after="0"/>
    </w:pPr>
    <w:rPr>
      <w:rFonts w:ascii="Times New Roman" w:hAnsi="Times New Roman"/>
      <w:szCs w:val="24"/>
    </w:rPr>
  </w:style>
  <w:style w:type="paragraph" w:styleId="BalloonText">
    <w:name w:val="Balloon Text"/>
    <w:basedOn w:val="Normal"/>
    <w:link w:val="SprechblasentextZchn"/>
    <w:uiPriority w:val="99"/>
    <w:semiHidden/>
    <w:unhideWhenUsed/>
    <w:qFormat/>
    <w:rsid w:val="00810c9a"/>
    <w:pPr/>
    <w:rPr>
      <w:rFonts w:ascii="Tahoma" w:hAnsi="Tahoma" w:cs="Tahoma"/>
      <w:sz w:val="16"/>
      <w:szCs w:val="16"/>
    </w:rPr>
  </w:style>
  <w:style w:type="paragraph" w:styleId="ListParagraph">
    <w:name w:val="List Paragraph"/>
    <w:basedOn w:val="Normal"/>
    <w:uiPriority w:val="34"/>
    <w:qFormat/>
    <w:rsid w:val="007e3ecd"/>
    <w:pPr>
      <w:widowControl/>
      <w:spacing w:before="0" w:after="0"/>
      <w:ind w:left="720" w:hanging="0"/>
      <w:contextualSpacing/>
    </w:pPr>
    <w:rPr/>
  </w:style>
  <w:style w:type="paragraph" w:styleId="Annotationtext">
    <w:name w:val="annotation text"/>
    <w:basedOn w:val="Normal"/>
    <w:link w:val="KommentartextZchn"/>
    <w:uiPriority w:val="99"/>
    <w:semiHidden/>
    <w:unhideWhenUsed/>
    <w:qFormat/>
    <w:rsid w:val="00ed7440"/>
    <w:pPr/>
    <w:rPr/>
  </w:style>
  <w:style w:type="paragraph" w:styleId="Annotationsubject">
    <w:name w:val="annotation subject"/>
    <w:basedOn w:val="Annotationtext"/>
    <w:next w:val="Annotationtext"/>
    <w:link w:val="KommentarthemaZchn"/>
    <w:uiPriority w:val="99"/>
    <w:semiHidden/>
    <w:unhideWhenUsed/>
    <w:qFormat/>
    <w:rsid w:val="00ed7440"/>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7FFC-68DE-4544-A55E-B9873AE5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8</Pages>
  <Words>1325</Words>
  <Characters>8818</Characters>
  <CharactersWithSpaces>10123</CharactersWithSpaces>
  <Paragraphs>105</Paragraphs>
  <Company>Arch. Nachtrieb + Weigel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2021-12-02T09:20:00Z</dcterms:created>
  <dc:creator>KN</dc:creator>
  <dc:description/>
  <dc:language>de-DE</dc:language>
  <cp:lastModifiedBy>n1</cp:lastModifiedBy>
  <cp:lastPrinted>2021-09-21T15:10:00Z</cp:lastPrinted>
  <dcterms:modified xsi:type="dcterms:W3CDTF">2021-12-02T09:22:00Z</dcterms:modified>
  <cp:revision>3</cp:revision>
  <dc:subject/>
  <dc:title>Mannheim</dc:title>
</cp:coreProperties>
</file>

<file path=docProps/custom.xml><?xml version="1.0" encoding="utf-8"?>
<Properties xmlns="http://schemas.openxmlformats.org/officeDocument/2006/custom-properties" xmlns:vt="http://schemas.openxmlformats.org/officeDocument/2006/docPropsVTypes"/>
</file>